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dashed" w:color="5F5F5F" w:sz="6" w:space="0"/>
          <w:right w:val="none" w:color="auto" w:sz="0" w:space="0"/>
        </w:pBdr>
        <w:shd w:val="clear" w:fill="FFFFFF"/>
        <w:spacing w:before="0" w:beforeAutospacing="0" w:after="0" w:afterAutospacing="0" w:line="750" w:lineRule="atLeast"/>
        <w:ind w:left="0" w:right="0" w:firstLine="0"/>
        <w:jc w:val="center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32323"/>
          <w:spacing w:val="0"/>
          <w:kern w:val="0"/>
          <w:sz w:val="36"/>
          <w:szCs w:val="36"/>
          <w:bdr w:val="none" w:color="auto" w:sz="0" w:space="0"/>
          <w:shd w:val="clear" w:fill="FFFFFF"/>
          <w:lang w:val="en-US" w:eastAsia="zh-CN" w:bidi="ar"/>
        </w:rPr>
        <w:t>【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kern w:val="0"/>
          <w:sz w:val="36"/>
          <w:szCs w:val="36"/>
          <w:bdr w:val="none" w:color="auto" w:sz="0" w:space="0"/>
          <w:shd w:val="clear" w:fill="FFFFFF"/>
          <w:lang w:val="en-US" w:eastAsia="zh-CN" w:bidi="ar"/>
        </w:rPr>
        <w:t>较真】九江公布一批住宅小区环境专项决战行动“红黑榜”！快看有你小区吗？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2" w:beforeAutospacing="0" w:after="0" w:afterAutospacing="0" w:line="420" w:lineRule="atLeast"/>
        <w:ind w:left="0" w:right="0" w:firstLine="420"/>
        <w:jc w:val="left"/>
      </w:pPr>
      <w:r>
        <w:rPr>
          <w:rFonts w:hint="default" w:ascii="weiruanyahei" w:hAnsi="weiruanyahei" w:eastAsia="weiruanyahei" w:cs="weiruanyahei"/>
          <w:i w:val="0"/>
          <w:iCs w:val="0"/>
          <w:caps w:val="0"/>
          <w:color w:val="646464"/>
          <w:spacing w:val="0"/>
          <w:sz w:val="27"/>
          <w:szCs w:val="27"/>
          <w:bdr w:val="none" w:color="auto" w:sz="0" w:space="0"/>
          <w:shd w:val="clear" w:fill="FFFFFF"/>
        </w:rPr>
        <w:t>2023年是学习宣传贯彻党的二十大精神的开局之年，也是九江市创建第七届全国文明城市的决战之年，为深入推进我市创建全国文明城市工作，确保实现市第十二次党代会提出的2023年创建全国文明城市成功摘牌的奋斗目标，针对物业服务企业服务质量的监督管理，我市根据相关政策法规规定出台了《九江市创文重点物业服务企业考核办法》，并公布了一批住宅小区环境专项决战行动“红黑榜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2" w:beforeAutospacing="0" w:after="0" w:afterAutospacing="0" w:line="420" w:lineRule="atLeast"/>
        <w:ind w:left="0" w:right="0" w:firstLine="420"/>
        <w:jc w:val="left"/>
      </w:pPr>
      <w:r>
        <w:rPr>
          <w:rFonts w:hint="default" w:ascii="weiruanyahei" w:hAnsi="weiruanyahei" w:eastAsia="weiruanyahei" w:cs="weiruanyahei"/>
          <w:i w:val="0"/>
          <w:iCs w:val="0"/>
          <w:caps w:val="0"/>
          <w:color w:val="646464"/>
          <w:spacing w:val="0"/>
          <w:sz w:val="27"/>
          <w:szCs w:val="27"/>
          <w:bdr w:val="none" w:color="auto" w:sz="0" w:space="0"/>
          <w:shd w:val="clear" w:fill="FFFFFF"/>
        </w:rPr>
        <w:t>记者了解到，自三月份以来，我市已经公布了八期“红黑榜”，涉及181个物管小区的物业服务企业。按照考核办法规定，三次列为红榜且未列为黑榜的物业服务企业，物业服务项目列为年度五星评比对象；四次列为红榜且未列为黑榜的物业服务企业，纳入企业优选库，由街道建议业委会（物业管理委员会）选聘物业服务</w:t>
      </w:r>
      <w:bookmarkStart w:id="0" w:name="_GoBack"/>
      <w:bookmarkEnd w:id="0"/>
      <w:r>
        <w:rPr>
          <w:rFonts w:hint="default" w:ascii="weiruanyahei" w:hAnsi="weiruanyahei" w:eastAsia="weiruanyahei" w:cs="weiruanyahei"/>
          <w:i w:val="0"/>
          <w:iCs w:val="0"/>
          <w:caps w:val="0"/>
          <w:color w:val="646464"/>
          <w:spacing w:val="0"/>
          <w:sz w:val="27"/>
          <w:szCs w:val="27"/>
          <w:bdr w:val="none" w:color="auto" w:sz="0" w:space="0"/>
          <w:shd w:val="clear" w:fill="FFFFFF"/>
        </w:rPr>
        <w:t>企业时予以优先考虑。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40" w:afterAutospacing="0" w:line="525" w:lineRule="atLeast"/>
        <w:ind w:left="0" w:right="0" w:firstLine="0"/>
        <w:jc w:val="left"/>
        <w:rPr>
          <w:rFonts w:hint="default" w:ascii="weiruanyahei" w:hAnsi="weiruanyahei" w:eastAsia="weiruanyahei" w:cs="weiruanyahei"/>
          <w:i w:val="0"/>
          <w:iCs w:val="0"/>
          <w:caps w:val="0"/>
          <w:color w:val="646464"/>
          <w:spacing w:val="0"/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452" w:beforeAutospacing="0" w:after="0" w:afterAutospacing="0"/>
        <w:ind w:left="0" w:right="0"/>
        <w:jc w:val="left"/>
      </w:pPr>
      <w:r>
        <w:rPr>
          <w:rFonts w:hint="default" w:ascii="weiruanyahei" w:hAnsi="weiruanyahei" w:eastAsia="weiruanyahei" w:cs="weiruanyahei"/>
          <w:i w:val="0"/>
          <w:iCs w:val="0"/>
          <w:caps w:val="0"/>
          <w:color w:val="646464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56530" cy="12280900"/>
            <wp:effectExtent l="0" t="0" r="1270" b="635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228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weiruanyahei" w:hAnsi="weiruanyahei" w:eastAsia="weiruanyahei" w:cs="weiruanyahei"/>
          <w:i w:val="0"/>
          <w:iCs w:val="0"/>
          <w:caps w:val="0"/>
          <w:color w:val="646464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53990" cy="11172825"/>
            <wp:effectExtent l="0" t="0" r="3810" b="9525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117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weiruanyahei" w:hAnsi="weiruanyahei" w:eastAsia="weiruanyahei" w:cs="weiruanyahei"/>
          <w:i w:val="0"/>
          <w:iCs w:val="0"/>
          <w:caps w:val="0"/>
          <w:color w:val="646464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146675" cy="12298045"/>
            <wp:effectExtent l="0" t="0" r="15875" b="825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12298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weiruanyahei" w:hAnsi="weiruanyahei" w:eastAsia="weiruanyahei" w:cs="weiruanyahei"/>
          <w:i w:val="0"/>
          <w:iCs w:val="0"/>
          <w:caps w:val="0"/>
          <w:color w:val="646464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077460" cy="10884535"/>
            <wp:effectExtent l="0" t="0" r="8890" b="1206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10884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weiruanyahei" w:hAnsi="weiruanyahei" w:eastAsia="weiruanyahei" w:cs="weiruanyahei"/>
          <w:i w:val="0"/>
          <w:iCs w:val="0"/>
          <w:caps w:val="0"/>
          <w:color w:val="646464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013960" cy="10441305"/>
            <wp:effectExtent l="0" t="0" r="15240" b="17145"/>
            <wp:docPr id="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1044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weiruanyahei" w:hAnsi="weiruanyahei" w:eastAsia="weiruanyahei" w:cs="weiruanyahei"/>
          <w:i w:val="0"/>
          <w:iCs w:val="0"/>
          <w:caps w:val="0"/>
          <w:color w:val="646464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23510" cy="11467465"/>
            <wp:effectExtent l="0" t="0" r="15240" b="635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11467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weiruanyahei" w:hAnsi="weiruanyahei" w:eastAsia="weiruanyahei" w:cs="weiruanyahei"/>
          <w:i w:val="0"/>
          <w:iCs w:val="0"/>
          <w:caps w:val="0"/>
          <w:color w:val="646464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07635" cy="18101310"/>
            <wp:effectExtent l="0" t="0" r="12065" b="15240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18101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weiruanyahei" w:hAnsi="weiruanyahei" w:eastAsia="weiruanyahei" w:cs="weiruanyahei"/>
          <w:i w:val="0"/>
          <w:iCs w:val="0"/>
          <w:caps w:val="0"/>
          <w:color w:val="646464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777105" cy="11474450"/>
            <wp:effectExtent l="0" t="0" r="4445" b="12700"/>
            <wp:docPr id="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1147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46464"/>
          <w:spacing w:val="0"/>
          <w:kern w:val="0"/>
          <w:sz w:val="27"/>
          <w:szCs w:val="27"/>
          <w:bdr w:val="none" w:color="auto" w:sz="0" w:space="0"/>
          <w:shd w:val="clear" w:fill="FFFFFF"/>
          <w:lang w:val="en-US" w:eastAsia="zh-CN" w:bidi="ar"/>
        </w:rPr>
        <w:t>对于列为诚信黑名单的物业服务企业，自公布之日起两年内不得参与我市物业管理招投标，并取消本年度评先评优资格。如该企业被列为红榜，一次缩减一年惩戒时间；列为诚信黑名单的物业服务企业，法定代表人（分支机构负责人）重新注册的企业，限制进入我市物业服务市场；项目负责人列为黑名单的，项目负责人及项目不能参加本年度的评先评优，两年内不得作为本市物管小区的项目负责人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0" w:afterAutospacing="0" w:line="525" w:lineRule="atLeast"/>
        <w:ind w:left="0" w:right="0"/>
        <w:jc w:val="left"/>
        <w:rPr>
          <w:color w:val="646464"/>
          <w:sz w:val="24"/>
          <w:szCs w:val="24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eiruanyahe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M4MmZjZjA2ZjM1YWY3ZmM5NDAzOWEyN2E0ZjBhZDcifQ=="/>
  </w:docVars>
  <w:rsids>
    <w:rsidRoot w:val="00000000"/>
    <w:rsid w:val="2C1E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2023-08-03T06:39:36Z</dcterms:created>
  <dc:creator>Administrator</dc:creator>
  <cp:lastModifiedBy>蓝天</cp:lastModifiedBy>
  <dcterms:modified xsi:type="dcterms:W3CDTF">2023-08-03T06:45:57Z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F63B3D54B37F4DA796EA77803E1C0EAA_12</vt:lpwstr>
  </property>
</Properties>
</file>