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E727C">
      <w:pPr>
        <w:spacing w:line="580" w:lineRule="exact"/>
        <w:jc w:val="both"/>
        <w:rPr>
          <w:sz w:val="32"/>
        </w:rPr>
      </w:pPr>
      <w:bookmarkStart w:id="0" w:name="_GoBack"/>
      <w:bookmarkEnd w:id="0"/>
      <w:r>
        <w:rPr>
          <w:sz w:val="32"/>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52070</wp:posOffset>
                </wp:positionV>
                <wp:extent cx="4618990" cy="4631690"/>
                <wp:effectExtent l="0" t="0" r="0" b="0"/>
                <wp:wrapSquare wrapText="bothSides"/>
                <wp:docPr id="8" name="文本框 8"/>
                <wp:cNvGraphicFramePr/>
                <a:graphic xmlns:a="http://schemas.openxmlformats.org/drawingml/2006/main">
                  <a:graphicData uri="http://schemas.microsoft.com/office/word/2010/wordprocessingShape">
                    <wps:wsp>
                      <wps:cNvSpPr txBox="1"/>
                      <wps:spPr>
                        <a:xfrm>
                          <a:off x="0" y="0"/>
                          <a:ext cx="4618990" cy="4631690"/>
                        </a:xfrm>
                        <a:prstGeom prst="rect">
                          <a:avLst/>
                        </a:prstGeom>
                        <a:noFill/>
                        <a:ln>
                          <a:noFill/>
                        </a:ln>
                      </wps:spPr>
                      <wps:txbx>
                        <w:txbxContent>
                          <w:p w14:paraId="09A59B6D">
                            <w:pPr>
                              <w:spacing w:line="1000" w:lineRule="exact"/>
                              <w:jc w:val="distribute"/>
                              <w:rPr>
                                <w:rFonts w:eastAsia="方正小标宋简体"/>
                                <w:snapToGrid w:val="0"/>
                                <w:color w:val="FF0000"/>
                                <w:w w:val="90"/>
                                <w:kern w:val="0"/>
                                <w:sz w:val="72"/>
                                <w:szCs w:val="72"/>
                              </w:rPr>
                            </w:pPr>
                            <w:r>
                              <w:rPr>
                                <w:rFonts w:hint="eastAsia" w:eastAsia="方正小标宋简体"/>
                                <w:snapToGrid w:val="0"/>
                                <w:color w:val="FF0000"/>
                                <w:w w:val="90"/>
                                <w:kern w:val="0"/>
                                <w:sz w:val="72"/>
                                <w:szCs w:val="72"/>
                                <w:lang w:eastAsia="zh-CN"/>
                              </w:rPr>
                              <w:t>九江市</w:t>
                            </w:r>
                            <w:r>
                              <w:rPr>
                                <w:rFonts w:eastAsia="方正小标宋简体"/>
                                <w:snapToGrid w:val="0"/>
                                <w:color w:val="FF0000"/>
                                <w:w w:val="90"/>
                                <w:kern w:val="0"/>
                                <w:sz w:val="72"/>
                                <w:szCs w:val="72"/>
                              </w:rPr>
                              <w:t>消防救援</w:t>
                            </w:r>
                            <w:r>
                              <w:rPr>
                                <w:rFonts w:hint="eastAsia" w:eastAsia="方正小标宋简体"/>
                                <w:snapToGrid w:val="0"/>
                                <w:color w:val="FF0000"/>
                                <w:w w:val="90"/>
                                <w:kern w:val="0"/>
                                <w:sz w:val="72"/>
                                <w:szCs w:val="72"/>
                                <w:lang w:eastAsia="zh-CN"/>
                              </w:rPr>
                              <w:t>支</w:t>
                            </w:r>
                            <w:r>
                              <w:rPr>
                                <w:rFonts w:eastAsia="方正小标宋简体"/>
                                <w:snapToGrid w:val="0"/>
                                <w:color w:val="FF0000"/>
                                <w:w w:val="90"/>
                                <w:kern w:val="0"/>
                                <w:sz w:val="72"/>
                                <w:szCs w:val="72"/>
                              </w:rPr>
                              <w:t>队</w:t>
                            </w:r>
                          </w:p>
                          <w:p w14:paraId="08CB352F">
                            <w:pPr>
                              <w:spacing w:line="1000" w:lineRule="exact"/>
                              <w:jc w:val="distribute"/>
                              <w:rPr>
                                <w:rFonts w:hint="default" w:eastAsia="方正小标宋简体" w:asciiTheme="minorAscii" w:hAnsiTheme="minorAscii"/>
                                <w:snapToGrid w:val="0"/>
                                <w:color w:val="FF0000"/>
                                <w:spacing w:val="-6"/>
                                <w:w w:val="85"/>
                                <w:kern w:val="0"/>
                                <w:sz w:val="72"/>
                                <w:szCs w:val="72"/>
                              </w:rPr>
                            </w:pPr>
                            <w:r>
                              <w:rPr>
                                <w:rFonts w:hint="default" w:eastAsia="方正小标宋简体" w:asciiTheme="minorAscii" w:hAnsiTheme="minorAscii"/>
                                <w:snapToGrid w:val="0"/>
                                <w:color w:val="FF0000"/>
                                <w:spacing w:val="-6"/>
                                <w:w w:val="85"/>
                                <w:kern w:val="0"/>
                                <w:sz w:val="72"/>
                                <w:szCs w:val="72"/>
                                <w:lang w:eastAsia="zh-CN"/>
                              </w:rPr>
                              <w:t>九江市</w:t>
                            </w:r>
                            <w:r>
                              <w:rPr>
                                <w:rFonts w:hint="default" w:eastAsia="方正小标宋简体" w:asciiTheme="minorAscii" w:hAnsiTheme="minorAscii"/>
                                <w:snapToGrid w:val="0"/>
                                <w:color w:val="FF0000"/>
                                <w:spacing w:val="-6"/>
                                <w:w w:val="85"/>
                                <w:kern w:val="0"/>
                                <w:sz w:val="72"/>
                                <w:szCs w:val="72"/>
                              </w:rPr>
                              <w:t>发展和改革委员会</w:t>
                            </w:r>
                          </w:p>
                          <w:p w14:paraId="06961E45">
                            <w:pPr>
                              <w:spacing w:line="1000" w:lineRule="exact"/>
                              <w:jc w:val="distribute"/>
                              <w:rPr>
                                <w:rFonts w:hint="default" w:eastAsia="方正小标宋简体"/>
                                <w:snapToGrid w:val="0"/>
                                <w:color w:val="FF0000"/>
                                <w:w w:val="90"/>
                                <w:kern w:val="0"/>
                                <w:sz w:val="72"/>
                                <w:szCs w:val="72"/>
                                <w:lang w:val="en-US" w:eastAsia="zh-CN"/>
                              </w:rPr>
                            </w:pPr>
                            <w:r>
                              <w:rPr>
                                <w:rFonts w:hint="eastAsia" w:eastAsia="方正小标宋简体"/>
                                <w:snapToGrid w:val="0"/>
                                <w:color w:val="FF0000"/>
                                <w:w w:val="90"/>
                                <w:kern w:val="0"/>
                                <w:sz w:val="72"/>
                                <w:szCs w:val="72"/>
                                <w:lang w:eastAsia="zh-CN"/>
                              </w:rPr>
                              <w:t>九江市</w:t>
                            </w:r>
                            <w:r>
                              <w:rPr>
                                <w:rFonts w:hint="eastAsia" w:eastAsia="方正小标宋简体"/>
                                <w:snapToGrid w:val="0"/>
                                <w:color w:val="FF0000"/>
                                <w:w w:val="90"/>
                                <w:kern w:val="0"/>
                                <w:sz w:val="72"/>
                                <w:szCs w:val="72"/>
                                <w:lang w:val="en-US" w:eastAsia="zh-CN"/>
                              </w:rPr>
                              <w:t>公安局</w:t>
                            </w:r>
                          </w:p>
                          <w:p w14:paraId="02254CD4">
                            <w:pPr>
                              <w:spacing w:line="1000" w:lineRule="exact"/>
                              <w:jc w:val="distribute"/>
                              <w:rPr>
                                <w:rFonts w:hint="default" w:eastAsia="方正小标宋简体"/>
                                <w:snapToGrid w:val="0"/>
                                <w:color w:val="FF0000"/>
                                <w:w w:val="90"/>
                                <w:kern w:val="0"/>
                                <w:sz w:val="72"/>
                                <w:szCs w:val="72"/>
                                <w:lang w:val="en-US" w:eastAsia="zh-CN"/>
                              </w:rPr>
                            </w:pPr>
                            <w:r>
                              <w:rPr>
                                <w:rFonts w:hint="eastAsia" w:eastAsia="方正小标宋简体"/>
                                <w:snapToGrid w:val="0"/>
                                <w:color w:val="FF0000"/>
                                <w:w w:val="90"/>
                                <w:kern w:val="0"/>
                                <w:sz w:val="72"/>
                                <w:szCs w:val="72"/>
                                <w:lang w:eastAsia="zh-CN"/>
                              </w:rPr>
                              <w:t>九江市</w:t>
                            </w:r>
                            <w:r>
                              <w:rPr>
                                <w:rFonts w:hint="eastAsia" w:eastAsia="方正小标宋简体"/>
                                <w:snapToGrid w:val="0"/>
                                <w:color w:val="FF0000"/>
                                <w:w w:val="90"/>
                                <w:kern w:val="0"/>
                                <w:sz w:val="72"/>
                                <w:szCs w:val="72"/>
                                <w:lang w:val="en-US" w:eastAsia="zh-CN"/>
                              </w:rPr>
                              <w:t>市场监督管理局</w:t>
                            </w:r>
                          </w:p>
                          <w:p w14:paraId="204E9CE1">
                            <w:pPr>
                              <w:spacing w:line="1000" w:lineRule="exact"/>
                              <w:jc w:val="distribute"/>
                              <w:rPr>
                                <w:rFonts w:hint="default" w:eastAsia="方正小标宋简体"/>
                                <w:snapToGrid w:val="0"/>
                                <w:color w:val="FF0000"/>
                                <w:w w:val="90"/>
                                <w:kern w:val="0"/>
                                <w:sz w:val="72"/>
                                <w:szCs w:val="72"/>
                                <w:lang w:val="en-US" w:eastAsia="zh-CN"/>
                              </w:rPr>
                            </w:pPr>
                            <w:r>
                              <w:rPr>
                                <w:rFonts w:hint="eastAsia" w:eastAsia="方正小标宋简体"/>
                                <w:snapToGrid w:val="0"/>
                                <w:color w:val="FF0000"/>
                                <w:w w:val="90"/>
                                <w:kern w:val="0"/>
                                <w:sz w:val="72"/>
                                <w:szCs w:val="72"/>
                                <w:lang w:eastAsia="zh-CN"/>
                              </w:rPr>
                              <w:t>九江</w:t>
                            </w:r>
                            <w:r>
                              <w:rPr>
                                <w:rFonts w:hint="eastAsia" w:eastAsia="方正小标宋简体"/>
                                <w:snapToGrid w:val="0"/>
                                <w:color w:val="FF0000"/>
                                <w:w w:val="90"/>
                                <w:kern w:val="0"/>
                                <w:sz w:val="72"/>
                                <w:szCs w:val="72"/>
                                <w:lang w:val="en-US" w:eastAsia="zh-CN"/>
                              </w:rPr>
                              <w:t>市自然资源局</w:t>
                            </w:r>
                          </w:p>
                          <w:p w14:paraId="45017790">
                            <w:pPr>
                              <w:spacing w:line="1000" w:lineRule="exact"/>
                              <w:jc w:val="distribute"/>
                              <w:rPr>
                                <w:rFonts w:hint="default" w:eastAsia="方正小标宋简体" w:asciiTheme="minorAscii" w:hAnsiTheme="minorAscii"/>
                                <w:snapToGrid w:val="0"/>
                                <w:color w:val="FF0000"/>
                                <w:spacing w:val="11"/>
                                <w:w w:val="85"/>
                                <w:kern w:val="0"/>
                                <w:sz w:val="72"/>
                                <w:szCs w:val="72"/>
                                <w:lang w:val="en-US" w:eastAsia="zh-CN"/>
                              </w:rPr>
                            </w:pPr>
                            <w:r>
                              <w:rPr>
                                <w:rFonts w:hint="default" w:eastAsia="方正小标宋简体" w:asciiTheme="minorAscii" w:hAnsiTheme="minorAscii"/>
                                <w:snapToGrid w:val="0"/>
                                <w:color w:val="FF0000"/>
                                <w:spacing w:val="11"/>
                                <w:w w:val="85"/>
                                <w:kern w:val="0"/>
                                <w:sz w:val="72"/>
                                <w:szCs w:val="72"/>
                                <w:lang w:eastAsia="zh-CN"/>
                              </w:rPr>
                              <w:t>九江</w:t>
                            </w:r>
                            <w:r>
                              <w:rPr>
                                <w:rFonts w:hint="default" w:eastAsia="方正小标宋简体" w:asciiTheme="minorAscii" w:hAnsiTheme="minorAscii"/>
                                <w:snapToGrid w:val="0"/>
                                <w:color w:val="FF0000"/>
                                <w:spacing w:val="11"/>
                                <w:w w:val="85"/>
                                <w:kern w:val="0"/>
                                <w:sz w:val="72"/>
                                <w:szCs w:val="72"/>
                                <w:lang w:val="en-US" w:eastAsia="zh-CN"/>
                              </w:rPr>
                              <w:t>市住房和城乡建设局</w:t>
                            </w:r>
                          </w:p>
                          <w:p w14:paraId="734A7FB6">
                            <w:pPr>
                              <w:spacing w:line="1000" w:lineRule="exact"/>
                              <w:jc w:val="distribute"/>
                              <w:rPr>
                                <w:rFonts w:hint="default" w:eastAsia="方正小标宋简体" w:asciiTheme="minorAscii" w:hAnsiTheme="minorAscii"/>
                                <w:snapToGrid w:val="0"/>
                                <w:color w:val="FF0000"/>
                                <w:spacing w:val="11"/>
                                <w:w w:val="85"/>
                                <w:kern w:val="0"/>
                                <w:sz w:val="72"/>
                                <w:szCs w:val="72"/>
                                <w:lang w:val="en-US" w:eastAsia="zh-CN"/>
                              </w:rPr>
                            </w:pPr>
                            <w:r>
                              <w:rPr>
                                <w:rFonts w:hint="eastAsia" w:eastAsia="方正小标宋简体"/>
                                <w:snapToGrid w:val="0"/>
                                <w:color w:val="FF0000"/>
                                <w:w w:val="90"/>
                                <w:kern w:val="0"/>
                                <w:sz w:val="72"/>
                                <w:szCs w:val="72"/>
                                <w:lang w:eastAsia="zh-CN"/>
                              </w:rPr>
                              <w:t>九江市</w:t>
                            </w:r>
                            <w:r>
                              <w:rPr>
                                <w:rFonts w:hint="eastAsia" w:eastAsia="方正小标宋简体"/>
                                <w:snapToGrid w:val="0"/>
                                <w:color w:val="FF0000"/>
                                <w:w w:val="90"/>
                                <w:kern w:val="0"/>
                                <w:sz w:val="72"/>
                                <w:szCs w:val="72"/>
                                <w:lang w:val="en-US" w:eastAsia="zh-CN"/>
                              </w:rPr>
                              <w:t>城市管理局</w:t>
                            </w:r>
                          </w:p>
                          <w:p w14:paraId="561F0733">
                            <w:pPr>
                              <w:jc w:val="distribute"/>
                              <w:rPr>
                                <w:rFonts w:hint="default"/>
                                <w:spacing w:val="-17"/>
                                <w:w w:val="57"/>
                                <w:sz w:val="20"/>
                                <w:szCs w:val="22"/>
                                <w:lang w:val="en-US"/>
                              </w:rPr>
                            </w:pPr>
                          </w:p>
                        </w:txbxContent>
                      </wps:txbx>
                      <wps:bodyPr upright="1"/>
                    </wps:wsp>
                  </a:graphicData>
                </a:graphic>
              </wp:anchor>
            </w:drawing>
          </mc:Choice>
          <mc:Fallback>
            <w:pict>
              <v:shape id="_x0000_s1026" o:spid="_x0000_s1026" o:spt="202" type="#_x0000_t202" style="position:absolute;left:0pt;margin-left:-5.25pt;margin-top:4.1pt;height:364.7pt;width:363.7pt;mso-wrap-distance-bottom:0pt;mso-wrap-distance-left:9pt;mso-wrap-distance-right:9pt;mso-wrap-distance-top:0pt;z-index:251662336;mso-width-relative:page;mso-height-relative:page;" filled="f" stroked="f" coordsize="21600,21600" o:gfxdata="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Gc3B2AAA&#10;AAkBAAAPAAAAAAAAAAEAIAAAACIAAABkcnMvZG93bnJldi54bWxQSwECFAAUAAAACACHTuJAEed5&#10;3qwBAABPAwAADgAAAAAAAAABACAAAAAnAQAAZHJzL2Uyb0RvYy54bWxQSwUGAAAAAAYABgBZAQAA&#10;RQUAAAAA&#10;">
                <v:fill on="f" focussize="0,0"/>
                <v:stroke on="f"/>
                <v:imagedata o:title=""/>
                <o:lock v:ext="edit" aspectratio="f"/>
                <v:textbox>
                  <w:txbxContent>
                    <w:p w14:paraId="09A59B6D">
                      <w:pPr>
                        <w:spacing w:line="1000" w:lineRule="exact"/>
                        <w:jc w:val="distribute"/>
                        <w:rPr>
                          <w:rFonts w:eastAsia="方正小标宋简体"/>
                          <w:snapToGrid w:val="0"/>
                          <w:color w:val="FF0000"/>
                          <w:w w:val="90"/>
                          <w:kern w:val="0"/>
                          <w:sz w:val="72"/>
                          <w:szCs w:val="72"/>
                        </w:rPr>
                      </w:pPr>
                      <w:r>
                        <w:rPr>
                          <w:rFonts w:hint="eastAsia" w:eastAsia="方正小标宋简体"/>
                          <w:snapToGrid w:val="0"/>
                          <w:color w:val="FF0000"/>
                          <w:w w:val="90"/>
                          <w:kern w:val="0"/>
                          <w:sz w:val="72"/>
                          <w:szCs w:val="72"/>
                          <w:lang w:eastAsia="zh-CN"/>
                        </w:rPr>
                        <w:t>九江市</w:t>
                      </w:r>
                      <w:r>
                        <w:rPr>
                          <w:rFonts w:eastAsia="方正小标宋简体"/>
                          <w:snapToGrid w:val="0"/>
                          <w:color w:val="FF0000"/>
                          <w:w w:val="90"/>
                          <w:kern w:val="0"/>
                          <w:sz w:val="72"/>
                          <w:szCs w:val="72"/>
                        </w:rPr>
                        <w:t>消防救援</w:t>
                      </w:r>
                      <w:r>
                        <w:rPr>
                          <w:rFonts w:hint="eastAsia" w:eastAsia="方正小标宋简体"/>
                          <w:snapToGrid w:val="0"/>
                          <w:color w:val="FF0000"/>
                          <w:w w:val="90"/>
                          <w:kern w:val="0"/>
                          <w:sz w:val="72"/>
                          <w:szCs w:val="72"/>
                          <w:lang w:eastAsia="zh-CN"/>
                        </w:rPr>
                        <w:t>支</w:t>
                      </w:r>
                      <w:r>
                        <w:rPr>
                          <w:rFonts w:eastAsia="方正小标宋简体"/>
                          <w:snapToGrid w:val="0"/>
                          <w:color w:val="FF0000"/>
                          <w:w w:val="90"/>
                          <w:kern w:val="0"/>
                          <w:sz w:val="72"/>
                          <w:szCs w:val="72"/>
                        </w:rPr>
                        <w:t>队</w:t>
                      </w:r>
                    </w:p>
                    <w:p w14:paraId="08CB352F">
                      <w:pPr>
                        <w:spacing w:line="1000" w:lineRule="exact"/>
                        <w:jc w:val="distribute"/>
                        <w:rPr>
                          <w:rFonts w:hint="default" w:eastAsia="方正小标宋简体" w:asciiTheme="minorAscii" w:hAnsiTheme="minorAscii"/>
                          <w:snapToGrid w:val="0"/>
                          <w:color w:val="FF0000"/>
                          <w:spacing w:val="-6"/>
                          <w:w w:val="85"/>
                          <w:kern w:val="0"/>
                          <w:sz w:val="72"/>
                          <w:szCs w:val="72"/>
                        </w:rPr>
                      </w:pPr>
                      <w:r>
                        <w:rPr>
                          <w:rFonts w:hint="default" w:eastAsia="方正小标宋简体" w:asciiTheme="minorAscii" w:hAnsiTheme="minorAscii"/>
                          <w:snapToGrid w:val="0"/>
                          <w:color w:val="FF0000"/>
                          <w:spacing w:val="-6"/>
                          <w:w w:val="85"/>
                          <w:kern w:val="0"/>
                          <w:sz w:val="72"/>
                          <w:szCs w:val="72"/>
                          <w:lang w:eastAsia="zh-CN"/>
                        </w:rPr>
                        <w:t>九江市</w:t>
                      </w:r>
                      <w:r>
                        <w:rPr>
                          <w:rFonts w:hint="default" w:eastAsia="方正小标宋简体" w:asciiTheme="minorAscii" w:hAnsiTheme="minorAscii"/>
                          <w:snapToGrid w:val="0"/>
                          <w:color w:val="FF0000"/>
                          <w:spacing w:val="-6"/>
                          <w:w w:val="85"/>
                          <w:kern w:val="0"/>
                          <w:sz w:val="72"/>
                          <w:szCs w:val="72"/>
                        </w:rPr>
                        <w:t>发展和改革委员会</w:t>
                      </w:r>
                    </w:p>
                    <w:p w14:paraId="06961E45">
                      <w:pPr>
                        <w:spacing w:line="1000" w:lineRule="exact"/>
                        <w:jc w:val="distribute"/>
                        <w:rPr>
                          <w:rFonts w:hint="default" w:eastAsia="方正小标宋简体"/>
                          <w:snapToGrid w:val="0"/>
                          <w:color w:val="FF0000"/>
                          <w:w w:val="90"/>
                          <w:kern w:val="0"/>
                          <w:sz w:val="72"/>
                          <w:szCs w:val="72"/>
                          <w:lang w:val="en-US" w:eastAsia="zh-CN"/>
                        </w:rPr>
                      </w:pPr>
                      <w:r>
                        <w:rPr>
                          <w:rFonts w:hint="eastAsia" w:eastAsia="方正小标宋简体"/>
                          <w:snapToGrid w:val="0"/>
                          <w:color w:val="FF0000"/>
                          <w:w w:val="90"/>
                          <w:kern w:val="0"/>
                          <w:sz w:val="72"/>
                          <w:szCs w:val="72"/>
                          <w:lang w:eastAsia="zh-CN"/>
                        </w:rPr>
                        <w:t>九江市</w:t>
                      </w:r>
                      <w:r>
                        <w:rPr>
                          <w:rFonts w:hint="eastAsia" w:eastAsia="方正小标宋简体"/>
                          <w:snapToGrid w:val="0"/>
                          <w:color w:val="FF0000"/>
                          <w:w w:val="90"/>
                          <w:kern w:val="0"/>
                          <w:sz w:val="72"/>
                          <w:szCs w:val="72"/>
                          <w:lang w:val="en-US" w:eastAsia="zh-CN"/>
                        </w:rPr>
                        <w:t>公安局</w:t>
                      </w:r>
                    </w:p>
                    <w:p w14:paraId="02254CD4">
                      <w:pPr>
                        <w:spacing w:line="1000" w:lineRule="exact"/>
                        <w:jc w:val="distribute"/>
                        <w:rPr>
                          <w:rFonts w:hint="default" w:eastAsia="方正小标宋简体"/>
                          <w:snapToGrid w:val="0"/>
                          <w:color w:val="FF0000"/>
                          <w:w w:val="90"/>
                          <w:kern w:val="0"/>
                          <w:sz w:val="72"/>
                          <w:szCs w:val="72"/>
                          <w:lang w:val="en-US" w:eastAsia="zh-CN"/>
                        </w:rPr>
                      </w:pPr>
                      <w:r>
                        <w:rPr>
                          <w:rFonts w:hint="eastAsia" w:eastAsia="方正小标宋简体"/>
                          <w:snapToGrid w:val="0"/>
                          <w:color w:val="FF0000"/>
                          <w:w w:val="90"/>
                          <w:kern w:val="0"/>
                          <w:sz w:val="72"/>
                          <w:szCs w:val="72"/>
                          <w:lang w:eastAsia="zh-CN"/>
                        </w:rPr>
                        <w:t>九江市</w:t>
                      </w:r>
                      <w:r>
                        <w:rPr>
                          <w:rFonts w:hint="eastAsia" w:eastAsia="方正小标宋简体"/>
                          <w:snapToGrid w:val="0"/>
                          <w:color w:val="FF0000"/>
                          <w:w w:val="90"/>
                          <w:kern w:val="0"/>
                          <w:sz w:val="72"/>
                          <w:szCs w:val="72"/>
                          <w:lang w:val="en-US" w:eastAsia="zh-CN"/>
                        </w:rPr>
                        <w:t>市场监督管理局</w:t>
                      </w:r>
                    </w:p>
                    <w:p w14:paraId="204E9CE1">
                      <w:pPr>
                        <w:spacing w:line="1000" w:lineRule="exact"/>
                        <w:jc w:val="distribute"/>
                        <w:rPr>
                          <w:rFonts w:hint="default" w:eastAsia="方正小标宋简体"/>
                          <w:snapToGrid w:val="0"/>
                          <w:color w:val="FF0000"/>
                          <w:w w:val="90"/>
                          <w:kern w:val="0"/>
                          <w:sz w:val="72"/>
                          <w:szCs w:val="72"/>
                          <w:lang w:val="en-US" w:eastAsia="zh-CN"/>
                        </w:rPr>
                      </w:pPr>
                      <w:r>
                        <w:rPr>
                          <w:rFonts w:hint="eastAsia" w:eastAsia="方正小标宋简体"/>
                          <w:snapToGrid w:val="0"/>
                          <w:color w:val="FF0000"/>
                          <w:w w:val="90"/>
                          <w:kern w:val="0"/>
                          <w:sz w:val="72"/>
                          <w:szCs w:val="72"/>
                          <w:lang w:eastAsia="zh-CN"/>
                        </w:rPr>
                        <w:t>九江</w:t>
                      </w:r>
                      <w:r>
                        <w:rPr>
                          <w:rFonts w:hint="eastAsia" w:eastAsia="方正小标宋简体"/>
                          <w:snapToGrid w:val="0"/>
                          <w:color w:val="FF0000"/>
                          <w:w w:val="90"/>
                          <w:kern w:val="0"/>
                          <w:sz w:val="72"/>
                          <w:szCs w:val="72"/>
                          <w:lang w:val="en-US" w:eastAsia="zh-CN"/>
                        </w:rPr>
                        <w:t>市自然资源局</w:t>
                      </w:r>
                    </w:p>
                    <w:p w14:paraId="45017790">
                      <w:pPr>
                        <w:spacing w:line="1000" w:lineRule="exact"/>
                        <w:jc w:val="distribute"/>
                        <w:rPr>
                          <w:rFonts w:hint="default" w:eastAsia="方正小标宋简体" w:asciiTheme="minorAscii" w:hAnsiTheme="minorAscii"/>
                          <w:snapToGrid w:val="0"/>
                          <w:color w:val="FF0000"/>
                          <w:spacing w:val="11"/>
                          <w:w w:val="85"/>
                          <w:kern w:val="0"/>
                          <w:sz w:val="72"/>
                          <w:szCs w:val="72"/>
                          <w:lang w:val="en-US" w:eastAsia="zh-CN"/>
                        </w:rPr>
                      </w:pPr>
                      <w:r>
                        <w:rPr>
                          <w:rFonts w:hint="default" w:eastAsia="方正小标宋简体" w:asciiTheme="minorAscii" w:hAnsiTheme="minorAscii"/>
                          <w:snapToGrid w:val="0"/>
                          <w:color w:val="FF0000"/>
                          <w:spacing w:val="11"/>
                          <w:w w:val="85"/>
                          <w:kern w:val="0"/>
                          <w:sz w:val="72"/>
                          <w:szCs w:val="72"/>
                          <w:lang w:eastAsia="zh-CN"/>
                        </w:rPr>
                        <w:t>九江</w:t>
                      </w:r>
                      <w:r>
                        <w:rPr>
                          <w:rFonts w:hint="default" w:eastAsia="方正小标宋简体" w:asciiTheme="minorAscii" w:hAnsiTheme="minorAscii"/>
                          <w:snapToGrid w:val="0"/>
                          <w:color w:val="FF0000"/>
                          <w:spacing w:val="11"/>
                          <w:w w:val="85"/>
                          <w:kern w:val="0"/>
                          <w:sz w:val="72"/>
                          <w:szCs w:val="72"/>
                          <w:lang w:val="en-US" w:eastAsia="zh-CN"/>
                        </w:rPr>
                        <w:t>市住房和城乡建设局</w:t>
                      </w:r>
                    </w:p>
                    <w:p w14:paraId="734A7FB6">
                      <w:pPr>
                        <w:spacing w:line="1000" w:lineRule="exact"/>
                        <w:jc w:val="distribute"/>
                        <w:rPr>
                          <w:rFonts w:hint="default" w:eastAsia="方正小标宋简体" w:asciiTheme="minorAscii" w:hAnsiTheme="minorAscii"/>
                          <w:snapToGrid w:val="0"/>
                          <w:color w:val="FF0000"/>
                          <w:spacing w:val="11"/>
                          <w:w w:val="85"/>
                          <w:kern w:val="0"/>
                          <w:sz w:val="72"/>
                          <w:szCs w:val="72"/>
                          <w:lang w:val="en-US" w:eastAsia="zh-CN"/>
                        </w:rPr>
                      </w:pPr>
                      <w:r>
                        <w:rPr>
                          <w:rFonts w:hint="eastAsia" w:eastAsia="方正小标宋简体"/>
                          <w:snapToGrid w:val="0"/>
                          <w:color w:val="FF0000"/>
                          <w:w w:val="90"/>
                          <w:kern w:val="0"/>
                          <w:sz w:val="72"/>
                          <w:szCs w:val="72"/>
                          <w:lang w:eastAsia="zh-CN"/>
                        </w:rPr>
                        <w:t>九江市</w:t>
                      </w:r>
                      <w:r>
                        <w:rPr>
                          <w:rFonts w:hint="eastAsia" w:eastAsia="方正小标宋简体"/>
                          <w:snapToGrid w:val="0"/>
                          <w:color w:val="FF0000"/>
                          <w:w w:val="90"/>
                          <w:kern w:val="0"/>
                          <w:sz w:val="72"/>
                          <w:szCs w:val="72"/>
                          <w:lang w:val="en-US" w:eastAsia="zh-CN"/>
                        </w:rPr>
                        <w:t>城市管理局</w:t>
                      </w:r>
                    </w:p>
                    <w:p w14:paraId="561F0733">
                      <w:pPr>
                        <w:jc w:val="distribute"/>
                        <w:rPr>
                          <w:rFonts w:hint="default"/>
                          <w:spacing w:val="-17"/>
                          <w:w w:val="57"/>
                          <w:sz w:val="20"/>
                          <w:szCs w:val="22"/>
                          <w:lang w:val="en-US"/>
                        </w:rPr>
                      </w:pPr>
                    </w:p>
                  </w:txbxContent>
                </v:textbox>
                <w10:wrap type="square"/>
              </v:shape>
            </w:pict>
          </mc:Fallback>
        </mc:AlternateContent>
      </w:r>
    </w:p>
    <w:p w14:paraId="2C555E89">
      <w:pPr>
        <w:spacing w:line="580" w:lineRule="exact"/>
        <w:jc w:val="both"/>
        <w:rPr>
          <w:sz w:val="32"/>
        </w:rPr>
      </w:pPr>
    </w:p>
    <w:p w14:paraId="6430FC10">
      <w:pPr>
        <w:spacing w:line="580" w:lineRule="exact"/>
        <w:jc w:val="both"/>
        <w:rPr>
          <w:sz w:val="32"/>
        </w:rPr>
      </w:pPr>
    </w:p>
    <w:p w14:paraId="37C03E17">
      <w:pPr>
        <w:spacing w:line="580" w:lineRule="exact"/>
        <w:jc w:val="both"/>
        <w:rPr>
          <w:sz w:val="32"/>
        </w:rPr>
      </w:pPr>
    </w:p>
    <w:p w14:paraId="23E29EE5">
      <w:pPr>
        <w:spacing w:line="580" w:lineRule="exact"/>
        <w:jc w:val="both"/>
        <w:rPr>
          <w:sz w:val="32"/>
        </w:rPr>
      </w:pPr>
    </w:p>
    <w:p w14:paraId="79D038D0">
      <w:pPr>
        <w:spacing w:line="580" w:lineRule="exact"/>
        <w:jc w:val="both"/>
        <w:rPr>
          <w:sz w:val="32"/>
        </w:rPr>
      </w:pPr>
      <w:r>
        <w:rPr>
          <w:sz w:val="160"/>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62230</wp:posOffset>
                </wp:positionV>
                <wp:extent cx="1264285" cy="821690"/>
                <wp:effectExtent l="0" t="0" r="12065" b="16510"/>
                <wp:wrapNone/>
                <wp:docPr id="9" name="文本框 9"/>
                <wp:cNvGraphicFramePr/>
                <a:graphic xmlns:a="http://schemas.openxmlformats.org/drawingml/2006/main">
                  <a:graphicData uri="http://schemas.microsoft.com/office/word/2010/wordprocessingShape">
                    <wps:wsp>
                      <wps:cNvSpPr txBox="1"/>
                      <wps:spPr>
                        <a:xfrm>
                          <a:off x="0" y="0"/>
                          <a:ext cx="1264285" cy="821690"/>
                        </a:xfrm>
                        <a:prstGeom prst="rect">
                          <a:avLst/>
                        </a:prstGeom>
                        <a:solidFill>
                          <a:srgbClr val="FFFFFF"/>
                        </a:solidFill>
                        <a:ln>
                          <a:noFill/>
                        </a:ln>
                      </wps:spPr>
                      <wps:txbx>
                        <w:txbxContent>
                          <w:p w14:paraId="4A319906">
                            <w:pPr>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文件</w:t>
                            </w:r>
                          </w:p>
                        </w:txbxContent>
                      </wps:txbx>
                      <wps:bodyPr upright="1"/>
                    </wps:wsp>
                  </a:graphicData>
                </a:graphic>
              </wp:anchor>
            </w:drawing>
          </mc:Choice>
          <mc:Fallback>
            <w:pict>
              <v:shape id="_x0000_s1026" o:spid="_x0000_s1026" o:spt="202" type="#_x0000_t202" style="position:absolute;left:0pt;margin-left:-4pt;margin-top:4.9pt;height:64.7pt;width:99.55pt;z-index:251663360;mso-width-relative:page;mso-height-relative:page;" fillcolor="#FFFFFF" filled="t" stroked="f" coordsize="21600,21600" o:gfxdata="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0h/ko1gAAAAgBAAAPAAAAAAAAAAEAIAAAACIAAABkcnMvZG93bnJldi54&#10;bWxQSwECFAAUAAAACACHTuJAHgxa+8MBAAB3AwAADgAAAAAAAAABACAAAAAlAQAAZHJzL2Uyb0Rv&#10;Yy54bWxQSwUGAAAAAAYABgBZAQAAWgUAAAAA&#10;">
                <v:fill on="t" focussize="0,0"/>
                <v:stroke on="f"/>
                <v:imagedata o:title=""/>
                <o:lock v:ext="edit" aspectratio="f"/>
                <v:textbox>
                  <w:txbxContent>
                    <w:p w14:paraId="4A319906">
                      <w:pPr>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文件</w:t>
                      </w:r>
                    </w:p>
                  </w:txbxContent>
                </v:textbox>
              </v:shape>
            </w:pict>
          </mc:Fallback>
        </mc:AlternateContent>
      </w:r>
    </w:p>
    <w:p w14:paraId="2D9BA81E">
      <w:pPr>
        <w:spacing w:line="1000" w:lineRule="exact"/>
        <w:jc w:val="both"/>
        <w:rPr>
          <w:rFonts w:hint="eastAsia" w:eastAsia="方正小标宋简体"/>
          <w:snapToGrid w:val="0"/>
          <w:color w:val="FF0000"/>
          <w:spacing w:val="-57"/>
          <w:kern w:val="0"/>
          <w:sz w:val="160"/>
          <w:szCs w:val="160"/>
        </w:rPr>
      </w:pPr>
    </w:p>
    <w:p w14:paraId="777BE007">
      <w:pPr>
        <w:spacing w:line="580" w:lineRule="exact"/>
        <w:jc w:val="both"/>
        <w:rPr>
          <w:sz w:val="32"/>
        </w:rPr>
      </w:pPr>
    </w:p>
    <w:p w14:paraId="38EF9F33">
      <w:pPr>
        <w:spacing w:line="580" w:lineRule="exact"/>
        <w:jc w:val="both"/>
        <w:rPr>
          <w:sz w:val="32"/>
        </w:rPr>
      </w:pPr>
    </w:p>
    <w:p w14:paraId="4B813331">
      <w:pPr>
        <w:spacing w:line="580" w:lineRule="exact"/>
        <w:jc w:val="both"/>
        <w:rPr>
          <w:sz w:val="32"/>
        </w:rPr>
      </w:pPr>
    </w:p>
    <w:p w14:paraId="23AD7924">
      <w:pPr>
        <w:spacing w:line="580" w:lineRule="exact"/>
        <w:jc w:val="both"/>
        <w:rPr>
          <w:sz w:val="32"/>
        </w:rPr>
      </w:pPr>
    </w:p>
    <w:p w14:paraId="629F81AF">
      <w:pPr>
        <w:spacing w:line="580" w:lineRule="exact"/>
        <w:jc w:val="both"/>
        <w:rPr>
          <w:sz w:val="32"/>
        </w:rPr>
      </w:pPr>
    </w:p>
    <w:p w14:paraId="629F37FD">
      <w:pPr>
        <w:spacing w:line="580" w:lineRule="exact"/>
        <w:jc w:val="both"/>
        <w:rPr>
          <w:rFonts w:eastAsia="仿宋"/>
          <w:sz w:val="32"/>
        </w:rPr>
      </w:pPr>
    </w:p>
    <w:p w14:paraId="30280FF8">
      <w:pPr>
        <w:spacing w:line="580" w:lineRule="exact"/>
        <w:jc w:val="center"/>
        <w:rPr>
          <w:rFonts w:hint="default" w:ascii="Times New Roman" w:hAnsi="Times New Roman" w:eastAsia="仿宋" w:cs="Times New Roman"/>
          <w:sz w:val="32"/>
        </w:rPr>
      </w:pPr>
      <w:r>
        <w:rPr>
          <w:rFonts w:hint="eastAsia" w:eastAsia="仿宋"/>
          <w:sz w:val="32"/>
          <w:lang w:eastAsia="zh-CN"/>
        </w:rPr>
        <w:t>九</w:t>
      </w:r>
      <w:r>
        <w:rPr>
          <w:rFonts w:eastAsia="仿宋"/>
          <w:sz w:val="32"/>
        </w:rPr>
        <w:t>消</w:t>
      </w:r>
      <w:r>
        <w:rPr>
          <w:rFonts w:hint="default" w:ascii="Times New Roman" w:hAnsi="Times New Roman" w:eastAsia="仿宋" w:cs="Times New Roman"/>
          <w:sz w:val="32"/>
        </w:rPr>
        <w:t>〔202</w:t>
      </w:r>
      <w:r>
        <w:rPr>
          <w:rFonts w:hint="eastAsia" w:ascii="Times New Roman" w:hAnsi="Times New Roman" w:eastAsia="仿宋" w:cs="Times New Roman"/>
          <w:sz w:val="32"/>
          <w:lang w:val="en-US" w:eastAsia="zh-CN"/>
        </w:rPr>
        <w:t>4</w:t>
      </w:r>
      <w:r>
        <w:rPr>
          <w:rFonts w:hint="default" w:ascii="Times New Roman" w:hAnsi="Times New Roman" w:eastAsia="仿宋" w:cs="Times New Roman"/>
          <w:sz w:val="32"/>
        </w:rPr>
        <w:t>〕</w:t>
      </w:r>
      <w:r>
        <w:rPr>
          <w:rFonts w:hint="eastAsia" w:ascii="Times New Roman" w:hAnsi="Times New Roman" w:eastAsia="仿宋" w:cs="Times New Roman"/>
          <w:sz w:val="32"/>
          <w:lang w:val="en-US" w:eastAsia="zh-CN"/>
        </w:rPr>
        <w:t>93</w:t>
      </w:r>
      <w:r>
        <w:rPr>
          <w:rFonts w:hint="default" w:ascii="Times New Roman" w:hAnsi="Times New Roman" w:eastAsia="仿宋" w:cs="Times New Roman"/>
          <w:sz w:val="32"/>
        </w:rPr>
        <w:t>号</w:t>
      </w:r>
    </w:p>
    <w:p w14:paraId="1F716D18">
      <w:pPr>
        <w:snapToGrid w:val="0"/>
        <w:spacing w:line="40" w:lineRule="exact"/>
        <w:jc w:val="both"/>
        <w:rPr>
          <w:rFonts w:eastAsia="黑体"/>
          <w:sz w:val="32"/>
          <w:szCs w:val="32"/>
          <w:shd w:val="clear" w:color="auto" w:fill="FFFFFF"/>
        </w:rPr>
      </w:pPr>
      <w: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22860</wp:posOffset>
                </wp:positionV>
                <wp:extent cx="5863590" cy="952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863590" cy="95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15pt;margin-top:1.8pt;height:0.75pt;width:461.7pt;z-index:251664384;mso-width-relative:page;mso-height-relative:page;" filled="f" stroked="t" coordsize="21600,21600" o:gfxdata="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YBn71AAAAAcBAAAPAAAAAAAAAAEAIAAAACIAAABkcnMvZG93bnJl&#10;di54bWxQSwECFAAUAAAACACHTuJALXEF8gECAADyAwAADgAAAAAAAAABACAAAAAjAQAAZHJzL2Uy&#10;b0RvYy54bWxQSwUGAAAAAAYABgBZAQAAlgUAAAAA&#10;">
                <v:fill on="f" focussize="0,0"/>
                <v:stroke weight="2pt" color="#FF0000" joinstyle="round"/>
                <v:imagedata o:title=""/>
                <o:lock v:ext="edit" aspectratio="f"/>
              </v:line>
            </w:pict>
          </mc:Fallback>
        </mc:AlternateContent>
      </w:r>
    </w:p>
    <w:p w14:paraId="634E30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07AD10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6"/>
          <w:sz w:val="44"/>
          <w:szCs w:val="44"/>
          <w:lang w:eastAsia="zh-CN"/>
        </w:rPr>
        <w:t>关于印发《</w:t>
      </w:r>
      <w:r>
        <w:rPr>
          <w:rFonts w:hint="eastAsia" w:ascii="方正小标宋简体" w:hAnsi="方正小标宋简体" w:eastAsia="方正小标宋简体" w:cs="方正小标宋简体"/>
          <w:spacing w:val="-6"/>
          <w:sz w:val="44"/>
          <w:szCs w:val="44"/>
          <w:lang w:val="en-US" w:eastAsia="zh-CN"/>
        </w:rPr>
        <w:t>九江市电动自行车消防安全管理办法</w:t>
      </w:r>
      <w:r>
        <w:rPr>
          <w:rFonts w:hint="eastAsia" w:ascii="方正小标宋简体" w:hAnsi="方正小标宋简体" w:eastAsia="方正小标宋简体" w:cs="方正小标宋简体"/>
          <w:sz w:val="44"/>
          <w:szCs w:val="44"/>
          <w:lang w:eastAsia="zh-CN"/>
        </w:rPr>
        <w:t>》的通知</w:t>
      </w:r>
    </w:p>
    <w:p w14:paraId="6008E8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0B15240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市直有关部门（单位）：</w:t>
      </w:r>
    </w:p>
    <w:p w14:paraId="5DEB18A1">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6"/>
          <w:kern w:val="2"/>
          <w:sz w:val="32"/>
          <w:szCs w:val="32"/>
          <w:lang w:val="en-US" w:eastAsia="zh-CN" w:bidi="ar-SA"/>
        </w:rPr>
        <w:t>《</w:t>
      </w:r>
      <w:r>
        <w:rPr>
          <w:rFonts w:hint="eastAsia" w:ascii="Times New Roman" w:hAnsi="Times New Roman" w:eastAsia="方正仿宋_GBK" w:cs="Times New Roman"/>
          <w:spacing w:val="-6"/>
          <w:kern w:val="2"/>
          <w:sz w:val="32"/>
          <w:szCs w:val="32"/>
          <w:lang w:val="en-US" w:eastAsia="zh-CN" w:bidi="ar-SA"/>
        </w:rPr>
        <w:t>九江市电动自行车消防安全管理办法</w:t>
      </w:r>
      <w:r>
        <w:rPr>
          <w:rFonts w:hint="default" w:ascii="Times New Roman" w:hAnsi="Times New Roman" w:eastAsia="方正仿宋_GBK" w:cs="Times New Roman"/>
          <w:spacing w:val="-6"/>
          <w:kern w:val="2"/>
          <w:sz w:val="32"/>
          <w:szCs w:val="32"/>
          <w:lang w:val="en-US" w:eastAsia="zh-CN" w:bidi="ar-SA"/>
        </w:rPr>
        <w:t>》</w:t>
      </w:r>
      <w:r>
        <w:rPr>
          <w:rFonts w:hint="eastAsia" w:ascii="Times New Roman" w:hAnsi="Times New Roman" w:eastAsia="方正仿宋_GBK" w:cs="Times New Roman"/>
          <w:spacing w:val="-6"/>
          <w:sz w:val="32"/>
          <w:szCs w:val="32"/>
          <w:lang w:val="en-US" w:eastAsia="zh-CN"/>
        </w:rPr>
        <w:t>已</w:t>
      </w:r>
      <w:r>
        <w:rPr>
          <w:rFonts w:hint="default" w:ascii="Times New Roman" w:hAnsi="Times New Roman" w:eastAsia="方正仿宋_GBK" w:cs="Times New Roman"/>
          <w:spacing w:val="-6"/>
          <w:sz w:val="32"/>
          <w:szCs w:val="32"/>
        </w:rPr>
        <w:t>经</w:t>
      </w:r>
      <w:r>
        <w:rPr>
          <w:rFonts w:hint="default" w:ascii="Times New Roman" w:hAnsi="Times New Roman" w:eastAsia="方正仿宋_GBK" w:cs="Times New Roman"/>
          <w:spacing w:val="-6"/>
          <w:sz w:val="32"/>
          <w:szCs w:val="32"/>
          <w:lang w:val="en-US" w:eastAsia="zh-CN"/>
        </w:rPr>
        <w:t>市</w:t>
      </w:r>
      <w:r>
        <w:rPr>
          <w:rFonts w:hint="eastAsia" w:ascii="Times New Roman" w:hAnsi="Times New Roman" w:eastAsia="方正仿宋_GBK" w:cs="Times New Roman"/>
          <w:spacing w:val="-6"/>
          <w:sz w:val="32"/>
          <w:szCs w:val="32"/>
          <w:lang w:val="en-US" w:eastAsia="zh-CN"/>
        </w:rPr>
        <w:t>人民</w:t>
      </w:r>
      <w:r>
        <w:rPr>
          <w:rFonts w:hint="default" w:ascii="Times New Roman" w:hAnsi="Times New Roman" w:eastAsia="方正仿宋_GBK" w:cs="Times New Roman"/>
          <w:spacing w:val="-6"/>
          <w:sz w:val="32"/>
          <w:szCs w:val="32"/>
        </w:rPr>
        <w:t>政府</w:t>
      </w:r>
      <w:r>
        <w:rPr>
          <w:rFonts w:hint="eastAsia" w:ascii="Times New Roman" w:hAnsi="Times New Roman" w:eastAsia="方正仿宋_GBK" w:cs="Times New Roman"/>
          <w:spacing w:val="-6"/>
          <w:sz w:val="32"/>
          <w:szCs w:val="32"/>
          <w:lang w:val="en-US" w:eastAsia="zh-CN"/>
        </w:rPr>
        <w:t>同意</w:t>
      </w:r>
      <w:r>
        <w:rPr>
          <w:rFonts w:hint="default" w:ascii="Times New Roman" w:hAnsi="Times New Roman" w:eastAsia="方正仿宋_GBK" w:cs="Times New Roman"/>
          <w:spacing w:val="-6"/>
          <w:sz w:val="32"/>
          <w:szCs w:val="32"/>
          <w:lang w:val="en-US" w:eastAsia="zh-CN"/>
        </w:rPr>
        <w:t>，现印发给你们，请</w:t>
      </w:r>
      <w:r>
        <w:rPr>
          <w:rFonts w:hint="eastAsia" w:ascii="Times New Roman" w:hAnsi="Times New Roman" w:eastAsia="方正仿宋_GBK" w:cs="Times New Roman"/>
          <w:spacing w:val="-6"/>
          <w:sz w:val="32"/>
          <w:szCs w:val="32"/>
          <w:lang w:val="en-US" w:eastAsia="zh-CN"/>
        </w:rPr>
        <w:t>结合实际认真贯彻落实。</w:t>
      </w:r>
    </w:p>
    <w:p w14:paraId="6EC1D80B">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2FAB13C9">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18C796C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九江市</w:t>
      </w:r>
      <w:r>
        <w:rPr>
          <w:rFonts w:ascii="Times New Roman" w:hAnsi="Times New Roman" w:eastAsia="方正仿宋_GBK"/>
          <w:sz w:val="32"/>
          <w:szCs w:val="32"/>
        </w:rPr>
        <w:t>消防救援</w:t>
      </w:r>
      <w:r>
        <w:rPr>
          <w:rFonts w:hint="eastAsia" w:ascii="Times New Roman" w:hAnsi="Times New Roman" w:eastAsia="方正仿宋_GBK"/>
          <w:sz w:val="32"/>
          <w:szCs w:val="32"/>
          <w:lang w:eastAsia="zh-CN"/>
        </w:rPr>
        <w:t>支</w:t>
      </w:r>
      <w:r>
        <w:rPr>
          <w:rFonts w:ascii="Times New Roman" w:hAnsi="Times New Roman" w:eastAsia="方正仿宋_GBK"/>
          <w:sz w:val="32"/>
          <w:szCs w:val="32"/>
        </w:rPr>
        <w:t>队</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九江市</w:t>
      </w:r>
      <w:r>
        <w:rPr>
          <w:rFonts w:ascii="Times New Roman" w:hAnsi="Times New Roman" w:eastAsia="方正仿宋_GBK"/>
          <w:sz w:val="32"/>
          <w:szCs w:val="32"/>
        </w:rPr>
        <w:t>发展和改革委员会</w:t>
      </w:r>
    </w:p>
    <w:p w14:paraId="7EDB0271">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ascii="Times New Roman" w:hAnsi="Times New Roman" w:eastAsia="方正仿宋_GBK"/>
          <w:sz w:val="32"/>
          <w:szCs w:val="32"/>
        </w:rPr>
      </w:pPr>
    </w:p>
    <w:p w14:paraId="5316CBA4">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p>
    <w:p w14:paraId="44AB15E9">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p>
    <w:p w14:paraId="627E3C9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九江市公安局                    </w:t>
      </w:r>
      <w:r>
        <w:rPr>
          <w:rFonts w:hint="eastAsia" w:ascii="Times New Roman" w:hAnsi="Times New Roman" w:eastAsia="方正仿宋_GBK"/>
          <w:sz w:val="32"/>
          <w:szCs w:val="32"/>
          <w:lang w:eastAsia="zh-CN"/>
        </w:rPr>
        <w:t>九江市</w:t>
      </w:r>
      <w:r>
        <w:rPr>
          <w:rFonts w:ascii="Times New Roman" w:hAnsi="Times New Roman" w:eastAsia="方正仿宋_GBK"/>
          <w:sz w:val="32"/>
          <w:szCs w:val="32"/>
        </w:rPr>
        <w:t>市场监督管理局</w:t>
      </w:r>
    </w:p>
    <w:p w14:paraId="0F5FFD4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sz w:val="32"/>
          <w:szCs w:val="32"/>
          <w:lang w:val="en-US" w:eastAsia="zh-CN"/>
        </w:rPr>
      </w:pPr>
    </w:p>
    <w:p w14:paraId="5A64A3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lang w:eastAsia="zh-CN"/>
        </w:rPr>
      </w:pPr>
    </w:p>
    <w:p w14:paraId="26A34A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lang w:eastAsia="zh-CN"/>
        </w:rPr>
      </w:pPr>
    </w:p>
    <w:p w14:paraId="02487454">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Times New Roman" w:hAnsi="Times New Roman" w:eastAsia="方正仿宋_GBK"/>
          <w:sz w:val="32"/>
          <w:szCs w:val="32"/>
          <w:lang w:eastAsia="zh-CN"/>
        </w:rPr>
        <w:t>九江市</w:t>
      </w:r>
      <w:r>
        <w:rPr>
          <w:rFonts w:hint="eastAsia" w:ascii="Times New Roman" w:hAnsi="Times New Roman" w:eastAsia="方正仿宋_GBK"/>
          <w:sz w:val="32"/>
          <w:szCs w:val="32"/>
          <w:lang w:val="en-US" w:eastAsia="zh-CN"/>
        </w:rPr>
        <w:t xml:space="preserve">自然资源局                </w:t>
      </w:r>
      <w:r>
        <w:rPr>
          <w:rFonts w:hint="eastAsia" w:ascii="Times New Roman" w:hAnsi="Times New Roman" w:eastAsia="方正仿宋_GBK"/>
          <w:sz w:val="32"/>
          <w:szCs w:val="32"/>
          <w:lang w:eastAsia="zh-CN"/>
        </w:rPr>
        <w:t>九江市</w:t>
      </w:r>
      <w:r>
        <w:rPr>
          <w:rFonts w:hint="eastAsia" w:ascii="Times New Roman" w:hAnsi="Times New Roman" w:eastAsia="方正仿宋_GBK"/>
          <w:sz w:val="32"/>
          <w:szCs w:val="32"/>
          <w:lang w:val="en-US" w:eastAsia="zh-CN"/>
        </w:rPr>
        <w:t>住房和城乡建设局</w:t>
      </w:r>
    </w:p>
    <w:p w14:paraId="6AB0CDC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Times New Roman" w:hAnsi="Times New Roman" w:eastAsia="方正仿宋_GBK"/>
          <w:sz w:val="32"/>
          <w:szCs w:val="32"/>
          <w:lang w:val="en-US" w:eastAsia="zh-CN"/>
        </w:rPr>
        <w:t xml:space="preserve">          </w:t>
      </w:r>
    </w:p>
    <w:p w14:paraId="331F14D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lang w:val="en-US" w:eastAsia="zh-CN"/>
        </w:rPr>
      </w:pPr>
    </w:p>
    <w:p w14:paraId="077E3F1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lang w:val="en-US" w:eastAsia="zh-CN"/>
        </w:rPr>
      </w:pPr>
    </w:p>
    <w:p w14:paraId="11CD6982">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九江市城市管理局</w:t>
      </w:r>
    </w:p>
    <w:p w14:paraId="771E9CC9">
      <w:pPr>
        <w:keepNext w:val="0"/>
        <w:keepLines w:val="0"/>
        <w:pageBreakBefore w:val="0"/>
        <w:widowControl w:val="0"/>
        <w:kinsoku/>
        <w:wordWrap/>
        <w:overflowPunct/>
        <w:topLinePunct w:val="0"/>
        <w:autoSpaceDE/>
        <w:autoSpaceDN/>
        <w:bidi w:val="0"/>
        <w:adjustRightInd/>
        <w:snapToGrid/>
        <w:spacing w:line="600" w:lineRule="exact"/>
        <w:ind w:firstLine="5312" w:firstLineChars="1600"/>
        <w:textAlignment w:val="auto"/>
        <w:rPr>
          <w:rFonts w:ascii="Times New Roman" w:hAnsi="Times New Roman" w:eastAsia="方正仿宋_GBK"/>
          <w:spacing w:val="0"/>
          <w:sz w:val="32"/>
          <w:szCs w:val="32"/>
        </w:rPr>
      </w:pPr>
      <w:r>
        <w:rPr>
          <w:rFonts w:ascii="Times New Roman" w:hAnsi="Times New Roman" w:eastAsia="方正仿宋_GBK"/>
          <w:spacing w:val="6"/>
          <w:sz w:val="32"/>
          <w:szCs w:val="32"/>
        </w:rPr>
        <w:t>20</w:t>
      </w:r>
      <w:r>
        <w:rPr>
          <w:rFonts w:ascii="Times New Roman" w:hAnsi="Times New Roman" w:eastAsia="方正仿宋_GBK"/>
          <w:spacing w:val="0"/>
          <w:sz w:val="32"/>
          <w:szCs w:val="32"/>
        </w:rPr>
        <w:t>2</w:t>
      </w:r>
      <w:r>
        <w:rPr>
          <w:rFonts w:hint="eastAsia" w:ascii="Times New Roman" w:hAnsi="Times New Roman" w:eastAsia="方正仿宋_GBK"/>
          <w:spacing w:val="0"/>
          <w:sz w:val="32"/>
          <w:szCs w:val="32"/>
          <w:lang w:val="en-US" w:eastAsia="zh-CN"/>
        </w:rPr>
        <w:t>4</w:t>
      </w:r>
      <w:r>
        <w:rPr>
          <w:rFonts w:ascii="Times New Roman" w:hAnsi="Times New Roman" w:eastAsia="方正仿宋_GBK"/>
          <w:spacing w:val="0"/>
          <w:sz w:val="32"/>
          <w:szCs w:val="32"/>
        </w:rPr>
        <w:t>年</w:t>
      </w:r>
      <w:r>
        <w:rPr>
          <w:rFonts w:hint="eastAsia" w:ascii="Times New Roman" w:hAnsi="Times New Roman" w:eastAsia="方正仿宋_GBK"/>
          <w:spacing w:val="-17"/>
          <w:sz w:val="32"/>
          <w:szCs w:val="32"/>
          <w:lang w:val="en-US" w:eastAsia="zh-CN"/>
        </w:rPr>
        <w:t>11</w:t>
      </w:r>
      <w:r>
        <w:rPr>
          <w:rFonts w:ascii="Times New Roman" w:hAnsi="Times New Roman" w:eastAsia="方正仿宋_GBK"/>
          <w:spacing w:val="-17"/>
          <w:sz w:val="32"/>
          <w:szCs w:val="32"/>
        </w:rPr>
        <w:t>月</w:t>
      </w:r>
      <w:r>
        <w:rPr>
          <w:rFonts w:hint="eastAsia" w:ascii="Times New Roman" w:hAnsi="Times New Roman" w:eastAsia="方正仿宋_GBK"/>
          <w:spacing w:val="-17"/>
          <w:sz w:val="32"/>
          <w:szCs w:val="32"/>
          <w:lang w:val="en-US" w:eastAsia="zh-CN"/>
        </w:rPr>
        <w:t>5</w:t>
      </w:r>
      <w:r>
        <w:rPr>
          <w:rFonts w:ascii="Times New Roman" w:hAnsi="Times New Roman" w:eastAsia="方正仿宋_GBK"/>
          <w:spacing w:val="-17"/>
          <w:sz w:val="32"/>
          <w:szCs w:val="32"/>
        </w:rPr>
        <w:t>日</w:t>
      </w:r>
    </w:p>
    <w:p w14:paraId="4706A3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3E9BCC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477572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417BF39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九江市电动自行车消防安全管理办法</w:t>
      </w:r>
    </w:p>
    <w:p w14:paraId="370BF2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314A74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w:t>
      </w:r>
      <w:r>
        <w:rPr>
          <w:rFonts w:hint="eastAsia" w:ascii="仿宋_GB2312" w:hAnsi="仿宋_GB2312" w:eastAsia="仿宋_GB2312" w:cs="仿宋_GB2312"/>
          <w:sz w:val="32"/>
          <w:szCs w:val="32"/>
        </w:rPr>
        <w:t xml:space="preserve">  为了加强电动自行车消防安全管理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预防和减少电动自行车火灾事故发生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保障人民群众生命财产安全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维护公共安全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中华人民共和国消防法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江西</w:t>
      </w:r>
      <w:r>
        <w:rPr>
          <w:rFonts w:hint="eastAsia" w:ascii="仿宋_GB2312" w:hAnsi="仿宋_GB2312" w:eastAsia="仿宋_GB2312" w:cs="仿宋_GB2312"/>
          <w:sz w:val="32"/>
          <w:szCs w:val="32"/>
        </w:rPr>
        <w:t>省消防条例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结合本市实际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14:paraId="3172DA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九江市各县（市、区）</w:t>
      </w:r>
      <w:r>
        <w:rPr>
          <w:rFonts w:hint="eastAsia" w:ascii="仿宋_GB2312" w:hAnsi="仿宋_GB2312" w:eastAsia="仿宋_GB2312" w:cs="仿宋_GB2312"/>
          <w:sz w:val="32"/>
          <w:szCs w:val="32"/>
        </w:rPr>
        <w:t>涉及电动自行车的消防安全管理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适用本办法。</w:t>
      </w:r>
    </w:p>
    <w:p w14:paraId="04559C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w:t>
      </w:r>
      <w:r>
        <w:rPr>
          <w:rFonts w:hint="eastAsia" w:ascii="仿宋_GB2312" w:hAnsi="仿宋_GB2312" w:eastAsia="仿宋_GB2312" w:cs="仿宋_GB2312"/>
          <w:sz w:val="32"/>
          <w:szCs w:val="32"/>
        </w:rPr>
        <w:t xml:space="preserve">  电动自行车消防安全管理工作</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坚持标本兼治、综合治理、科技赋能、公众参与的原则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构建全链条治理新体系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打造城市安全共建共治共享新格局。</w:t>
      </w:r>
    </w:p>
    <w:p w14:paraId="565A6F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应当加强对电动自行车消防安全管理工作的</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保障电动自行车消防安全管理工作经费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加大对电动自行车集中</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充电场所和设施建设的投入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建立信息共享、协调联动、联合查处和案件移送机制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组织和督促有关部门依法</w:t>
      </w:r>
      <w:r>
        <w:rPr>
          <w:rFonts w:hint="eastAsia" w:ascii="仿宋_GB2312" w:hAnsi="仿宋_GB2312" w:eastAsia="仿宋_GB2312" w:cs="仿宋_GB2312"/>
          <w:sz w:val="32"/>
          <w:szCs w:val="32"/>
          <w:lang w:val="en-US" w:eastAsia="zh-CN"/>
        </w:rPr>
        <w:t>依规</w:t>
      </w:r>
      <w:r>
        <w:rPr>
          <w:rFonts w:hint="eastAsia" w:ascii="仿宋_GB2312" w:hAnsi="仿宋_GB2312" w:eastAsia="仿宋_GB2312" w:cs="仿宋_GB2312"/>
          <w:sz w:val="32"/>
          <w:szCs w:val="32"/>
        </w:rPr>
        <w:t>履行职责。</w:t>
      </w:r>
    </w:p>
    <w:p w14:paraId="773644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消防救援机构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牵头推进全市电动自行车消防安全管理工作，宣传贯彻</w:t>
      </w:r>
      <w:r>
        <w:rPr>
          <w:rFonts w:hint="eastAsia" w:ascii="仿宋_GB2312" w:hAnsi="仿宋_GB2312" w:eastAsia="仿宋_GB2312" w:cs="仿宋_GB2312"/>
          <w:sz w:val="32"/>
          <w:szCs w:val="32"/>
        </w:rPr>
        <w:t>电动自行车停放充电场所消防安全管理规范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协助做好电动自行车停放充电场所和设施的设置工作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对违反消防安全规定的电动自行车停放、充电等行为进行监督管理。</w:t>
      </w:r>
    </w:p>
    <w:p w14:paraId="4DB02A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负责电动自行车及其蓄电池、充电器等产品生产、销售和维修环节以及强制性产品认证的监督管理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依规</w:t>
      </w:r>
      <w:r>
        <w:rPr>
          <w:rFonts w:hint="eastAsia" w:ascii="仿宋_GB2312" w:hAnsi="仿宋_GB2312" w:eastAsia="仿宋_GB2312" w:cs="仿宋_GB2312"/>
          <w:sz w:val="32"/>
          <w:szCs w:val="32"/>
        </w:rPr>
        <w:t>对产品质量问题开展调查处理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配合国家、省市场监管部门组织开展电动自行车相关缺陷消费品召回工作。</w:t>
      </w:r>
      <w:r>
        <w:rPr>
          <w:rFonts w:hint="eastAsia" w:ascii="仿宋_GB2312" w:hAnsi="仿宋_GB2312" w:eastAsia="仿宋_GB2312" w:cs="仿宋_GB2312"/>
          <w:sz w:val="32"/>
          <w:szCs w:val="32"/>
        </w:rPr>
        <w:t>负责对电动自行车充电设施收费的价格执法。</w:t>
      </w:r>
      <w:r>
        <w:rPr>
          <w:rFonts w:hint="eastAsia" w:ascii="仿宋_GB2312" w:hAnsi="仿宋_GB2312" w:eastAsia="仿宋_GB2312" w:cs="仿宋_GB2312"/>
          <w:sz w:val="32"/>
          <w:szCs w:val="32"/>
          <w:lang w:val="en-US" w:eastAsia="zh-CN"/>
        </w:rPr>
        <w:t>引导集中充电设施运营主体将信用承诺信息自主向社会公布。</w:t>
      </w:r>
    </w:p>
    <w:p w14:paraId="1AC8F4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负责电动自行车登记管理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对驾驶非法拼装、加装、改装电动自行车上路行驶等违法行为依法</w:t>
      </w:r>
      <w:r>
        <w:rPr>
          <w:rFonts w:hint="eastAsia" w:ascii="仿宋_GB2312" w:hAnsi="仿宋_GB2312" w:eastAsia="仿宋_GB2312" w:cs="仿宋_GB2312"/>
          <w:sz w:val="32"/>
          <w:szCs w:val="32"/>
          <w:lang w:eastAsia="zh-CN"/>
        </w:rPr>
        <w:t>依规</w:t>
      </w:r>
      <w:r>
        <w:rPr>
          <w:rFonts w:hint="eastAsia" w:ascii="仿宋_GB2312" w:hAnsi="仿宋_GB2312" w:eastAsia="仿宋_GB2312" w:cs="仿宋_GB2312"/>
          <w:sz w:val="32"/>
          <w:szCs w:val="32"/>
        </w:rPr>
        <w:t>予以处罚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在职责范围内对违反消防安全规定的电动自行车停放、充电等行为进行监督管理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开展消防安全宣传教育。</w:t>
      </w:r>
    </w:p>
    <w:p w14:paraId="64E74C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负责指导、监督新建建筑</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既有住宅</w:t>
      </w:r>
      <w:r>
        <w:rPr>
          <w:rFonts w:hint="eastAsia" w:ascii="仿宋_GB2312" w:hAnsi="仿宋_GB2312" w:eastAsia="仿宋_GB2312" w:cs="仿宋_GB2312"/>
          <w:sz w:val="32"/>
          <w:szCs w:val="32"/>
          <w:lang w:val="en-US" w:eastAsia="zh-CN"/>
        </w:rPr>
        <w:t>小区</w:t>
      </w:r>
      <w:r>
        <w:rPr>
          <w:rFonts w:hint="eastAsia" w:ascii="仿宋_GB2312" w:hAnsi="仿宋_GB2312" w:eastAsia="仿宋_GB2312" w:cs="仿宋_GB2312"/>
          <w:sz w:val="32"/>
          <w:szCs w:val="32"/>
        </w:rPr>
        <w:t>电动自行车停放充电场所建设管理。指导、督促物业服务企业按照物业服务合同约定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加强住宅小区电动自行车停放、充电等涉及消防安全的管理工作。</w:t>
      </w:r>
    </w:p>
    <w:p w14:paraId="7E8182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将新建建筑、新建住宅小区</w:t>
      </w:r>
      <w:r>
        <w:rPr>
          <w:rFonts w:hint="eastAsia" w:ascii="仿宋_GB2312" w:hAnsi="仿宋_GB2312" w:eastAsia="仿宋_GB2312" w:cs="仿宋_GB2312"/>
          <w:sz w:val="32"/>
          <w:szCs w:val="32"/>
        </w:rPr>
        <w:t>电动自行车停放充电场所</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设计审查内容。</w:t>
      </w:r>
    </w:p>
    <w:p w14:paraId="01BF88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负责落实电动自行车充电设施收费政策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对规范充电设施的电费标准和收费行为进行监督管理。</w:t>
      </w:r>
    </w:p>
    <w:p w14:paraId="5E2DF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城管部门：负责</w:t>
      </w:r>
      <w:r>
        <w:rPr>
          <w:rFonts w:hint="eastAsia" w:ascii="仿宋_GB2312" w:hAnsi="仿宋_GB2312" w:eastAsia="仿宋_GB2312" w:cs="仿宋_GB2312"/>
          <w:sz w:val="32"/>
          <w:szCs w:val="32"/>
        </w:rPr>
        <w:t>在街道两侧和公共场地已批准布点建设电动自行车停放充电场所的审核</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14:paraId="1129F7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教育、工信、民政、生态环境、商务、卫健、应急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、邮政</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供电</w:t>
      </w:r>
      <w:r>
        <w:rPr>
          <w:rFonts w:hint="eastAsia" w:ascii="仿宋_GB2312" w:hAnsi="仿宋_GB2312" w:eastAsia="仿宋_GB2312" w:cs="仿宋_GB2312"/>
          <w:sz w:val="32"/>
          <w:szCs w:val="32"/>
        </w:rPr>
        <w:t>等部门和单位在各自职责范围内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做好电动自行车消防安全管理工作。</w:t>
      </w:r>
    </w:p>
    <w:p w14:paraId="5ADBED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镇人民政府、街道办事处应当加强辖区内电动自行车消防安全管理工作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将其纳入网格化管理范围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定期组织对电动自行车销售、维修经营</w:t>
      </w:r>
      <w:r>
        <w:rPr>
          <w:rFonts w:hint="eastAsia" w:ascii="仿宋_GB2312" w:hAnsi="仿宋_GB2312" w:eastAsia="仿宋_GB2312" w:cs="仿宋_GB2312"/>
          <w:sz w:val="32"/>
          <w:szCs w:val="32"/>
          <w:lang w:val="en-US" w:eastAsia="zh-CN"/>
        </w:rPr>
        <w:t>门店</w:t>
      </w:r>
      <w:r>
        <w:rPr>
          <w:rFonts w:hint="eastAsia" w:ascii="仿宋_GB2312" w:hAnsi="仿宋_GB2312" w:eastAsia="仿宋_GB2312" w:cs="仿宋_GB2312"/>
          <w:sz w:val="32"/>
          <w:szCs w:val="32"/>
        </w:rPr>
        <w:t>以及停放充电场所开展消防安全检查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并依据《江西省人民政府关于调整赋予乡镇（街道）县级审批服务执法权限和经济发达镇县级经济社会管理权限指导目录的通知》要求，对</w:t>
      </w:r>
      <w:r>
        <w:rPr>
          <w:rFonts w:hint="eastAsia" w:ascii="仿宋_GB2312" w:hAnsi="仿宋_GB2312" w:eastAsia="仿宋_GB2312" w:cs="仿宋_GB2312"/>
          <w:sz w:val="32"/>
          <w:szCs w:val="32"/>
        </w:rPr>
        <w:t>个人在疏散通道、安全出口、楼梯间停放电动自行车或给电动自行车充电</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行为进行执法，</w:t>
      </w:r>
      <w:r>
        <w:rPr>
          <w:rFonts w:hint="eastAsia" w:ascii="仿宋_GB2312" w:hAnsi="仿宋_GB2312" w:eastAsia="仿宋_GB2312" w:cs="仿宋_GB2312"/>
          <w:sz w:val="32"/>
          <w:szCs w:val="32"/>
        </w:rPr>
        <w:t>加强电动自行车消防安全宣传教育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指导村（居）民委员会参与管理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督促辖区内单位、物业服务企业、住户等落实电动自行车消防安全管理责任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指导业主或者业主委员会将电动自行车消防安全管理相关内容纳入物业服务招标选聘方案。</w:t>
      </w:r>
    </w:p>
    <w:p w14:paraId="38DCF7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村（居）民委员会将电动自行车防火安全规范纳入村规民约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组织开展电动自行车消防安全群众性宣传教育工作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协助开展消防安全检查和日常巡查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及时发现电动自行车消防安全隐患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劝阻和制止违法违规行为。</w:t>
      </w:r>
    </w:p>
    <w:p w14:paraId="3A5A26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第六条</w:t>
      </w:r>
      <w:r>
        <w:rPr>
          <w:rFonts w:hint="eastAsia" w:ascii="仿宋_GB2312" w:hAnsi="仿宋_GB2312" w:eastAsia="仿宋_GB2312" w:cs="仿宋_GB2312"/>
          <w:sz w:val="32"/>
          <w:szCs w:val="32"/>
        </w:rPr>
        <w:t xml:space="preserve">  机关、团体、企事业单位及其他组织应当对本单位人员开展电动自行车消防安全管理和</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教育。</w:t>
      </w:r>
    </w:p>
    <w:p w14:paraId="72276B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学校应当将电动自行车消防安全纳入教育内容。</w:t>
      </w:r>
    </w:p>
    <w:p w14:paraId="62C65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新闻出版、广播电视以及互联网信息服务提供者等应当开展电动自行车消防安全公益宣传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普及电动自行车消防安全</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和安全</w:t>
      </w:r>
      <w:r>
        <w:rPr>
          <w:rFonts w:hint="eastAsia" w:ascii="仿宋_GB2312" w:hAnsi="仿宋_GB2312" w:eastAsia="仿宋_GB2312" w:cs="仿宋_GB2312"/>
          <w:sz w:val="32"/>
          <w:szCs w:val="32"/>
          <w:lang w:val="en-US" w:eastAsia="zh-CN"/>
        </w:rPr>
        <w:t>常识等相关</w:t>
      </w:r>
      <w:r>
        <w:rPr>
          <w:rFonts w:hint="eastAsia" w:ascii="仿宋_GB2312" w:hAnsi="仿宋_GB2312" w:eastAsia="仿宋_GB2312" w:cs="仿宋_GB2312"/>
          <w:sz w:val="32"/>
          <w:szCs w:val="32"/>
        </w:rPr>
        <w:t>知识。</w:t>
      </w:r>
    </w:p>
    <w:p w14:paraId="14F7EA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鼓励群众参与电动自行车及蓄电池生产、销售、改装、停放、充电等环节社会监督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举报投诉电动自行车消防安全隐患和违法线索。对提供违法线索经查实的按照规定给予奖励。</w:t>
      </w:r>
    </w:p>
    <w:p w14:paraId="275CD7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推动乘客电梯安装</w:t>
      </w:r>
      <w:r>
        <w:rPr>
          <w:rFonts w:hint="eastAsia" w:ascii="仿宋_GB2312" w:hAnsi="仿宋_GB2312" w:eastAsia="仿宋_GB2312" w:cs="仿宋_GB2312"/>
          <w:sz w:val="32"/>
          <w:szCs w:val="32"/>
          <w:lang w:val="en-US" w:eastAsia="zh-CN"/>
        </w:rPr>
        <w:t>电动自行车</w:t>
      </w:r>
      <w:r>
        <w:rPr>
          <w:rFonts w:hint="eastAsia" w:ascii="仿宋_GB2312" w:hAnsi="仿宋_GB2312" w:eastAsia="仿宋_GB2312" w:cs="仿宋_GB2312"/>
          <w:sz w:val="32"/>
          <w:szCs w:val="32"/>
        </w:rPr>
        <w:t>智能</w:t>
      </w:r>
      <w:r>
        <w:rPr>
          <w:rFonts w:hint="eastAsia" w:ascii="仿宋_GB2312" w:hAnsi="仿宋_GB2312" w:eastAsia="仿宋_GB2312" w:cs="仿宋_GB2312"/>
          <w:sz w:val="32"/>
          <w:szCs w:val="32"/>
          <w:lang w:val="en-US" w:eastAsia="zh-CN"/>
        </w:rPr>
        <w:t>阻止</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阻止电动自行车进入电梯。</w:t>
      </w:r>
    </w:p>
    <w:p w14:paraId="0731B6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第七条</w:t>
      </w:r>
      <w:r>
        <w:rPr>
          <w:rFonts w:hint="eastAsia" w:ascii="仿宋_GB2312" w:hAnsi="仿宋_GB2312" w:eastAsia="仿宋_GB2312" w:cs="仿宋_GB2312"/>
          <w:sz w:val="32"/>
          <w:szCs w:val="32"/>
        </w:rPr>
        <w:t xml:space="preserve">  在本市生产、销售和使用的电动自行车和蓄电池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充电器等产品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应当符合有关国家标准和行业标准。</w:t>
      </w:r>
    </w:p>
    <w:p w14:paraId="016C40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任何单位和个人不得违反</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和强制性国家标准实施下列行为</w:t>
      </w:r>
      <w:r>
        <w:rPr>
          <w:rFonts w:hint="eastAsia" w:ascii="仿宋_GB2312" w:hAnsi="仿宋_GB2312" w:eastAsia="仿宋_GB2312" w:cs="仿宋_GB2312"/>
          <w:sz w:val="32"/>
          <w:szCs w:val="32"/>
          <w:lang w:eastAsia="zh-CN"/>
        </w:rPr>
        <w:t>：</w:t>
      </w:r>
    </w:p>
    <w:p w14:paraId="1AF517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（一）拼装电动自行车</w:t>
      </w:r>
      <w:r>
        <w:rPr>
          <w:rFonts w:hint="eastAsia" w:ascii="仿宋_GB2312" w:hAnsi="仿宋_GB2312" w:eastAsia="仿宋_GB2312" w:cs="仿宋_GB2312"/>
          <w:sz w:val="32"/>
          <w:szCs w:val="32"/>
          <w:lang w:eastAsia="zh-CN"/>
        </w:rPr>
        <w:t>；</w:t>
      </w:r>
    </w:p>
    <w:p w14:paraId="3859C1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（二）改装电动自行车的电动机和蓄电池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充电器等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或更换不符合强制性国家标准的电动机和蓄电池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充电器</w:t>
      </w:r>
      <w:r>
        <w:rPr>
          <w:rFonts w:hint="eastAsia" w:ascii="仿宋_GB2312" w:hAnsi="仿宋_GB2312" w:eastAsia="仿宋_GB2312" w:cs="仿宋_GB2312"/>
          <w:sz w:val="32"/>
          <w:szCs w:val="32"/>
          <w:lang w:eastAsia="zh-CN"/>
        </w:rPr>
        <w:t>；</w:t>
      </w:r>
    </w:p>
    <w:p w14:paraId="680746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（三）回收电动自行车蓄电池以旧充新再次出售。</w:t>
      </w:r>
    </w:p>
    <w:p w14:paraId="72A53D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第八条</w:t>
      </w:r>
      <w:r>
        <w:rPr>
          <w:rFonts w:hint="eastAsia" w:ascii="仿宋_GB2312" w:hAnsi="仿宋_GB2312" w:eastAsia="仿宋_GB2312" w:cs="仿宋_GB2312"/>
          <w:sz w:val="32"/>
          <w:szCs w:val="32"/>
        </w:rPr>
        <w:t xml:space="preserve">  按照国家规定实施电动自行车和蓄电池赋码销售、登记制度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通过赋码溯源平台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实现电动自行车全生命周期管理。</w:t>
      </w:r>
    </w:p>
    <w:p w14:paraId="770897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鼓励电动自行车生产者、销售者采取以旧换新、折价回购等方式回收废旧电动自行车。</w:t>
      </w:r>
    </w:p>
    <w:p w14:paraId="618114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鼓励电动自行车使用者对蓄电池实施定期检测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按照国家规定对达到安全使用年限的蓄电池进行报废处理。电动自行车及其蓄电池的生产者、销售者、维修者应当提供电动自行车废旧蓄电池更换、回收服务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建立回收台账。</w:t>
      </w:r>
    </w:p>
    <w:p w14:paraId="424FDE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火车</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val="en-US" w:eastAsia="zh-CN"/>
        </w:rPr>
        <w:t>客运</w:t>
      </w:r>
      <w:r>
        <w:rPr>
          <w:rFonts w:hint="eastAsia" w:ascii="仿宋_GB2312" w:hAnsi="仿宋_GB2312" w:eastAsia="仿宋_GB2312" w:cs="仿宋_GB2312"/>
          <w:sz w:val="32"/>
          <w:szCs w:val="32"/>
        </w:rPr>
        <w:t>车站、医院、商场、农贸市场、文化体育场馆、公园等公共交通设施、公共建筑、公共场所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以及住宅小区等应当按照有关标准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规划和配套建设电动自行车集中停放充电场所。</w:t>
      </w:r>
    </w:p>
    <w:p w14:paraId="68E781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应当推动有条件的已建成住宅小区及公共交通设施、公共建筑、公共场所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结合实际设置符合消防安全要求的电动自行车集中停放充电场所。</w:t>
      </w:r>
      <w:r>
        <w:rPr>
          <w:rFonts w:hint="eastAsia" w:ascii="仿宋_GB2312" w:hAnsi="仿宋_GB2312" w:eastAsia="仿宋_GB2312" w:cs="仿宋_GB2312"/>
          <w:sz w:val="32"/>
          <w:szCs w:val="32"/>
          <w:lang w:val="en-US" w:eastAsia="zh-CN"/>
        </w:rPr>
        <w:t>自然资源、住建、城管和消防救援等部门应当依法依规优化审批程序，做好衔接工作。</w:t>
      </w:r>
    </w:p>
    <w:p w14:paraId="6373F5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因受客观条件限制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暂时难以建成电动自行车集中停放充电场所的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可以依法</w:t>
      </w:r>
      <w:r>
        <w:rPr>
          <w:rFonts w:hint="eastAsia" w:ascii="仿宋_GB2312" w:hAnsi="仿宋_GB2312" w:eastAsia="仿宋_GB2312" w:cs="仿宋_GB2312"/>
          <w:sz w:val="32"/>
          <w:szCs w:val="32"/>
          <w:lang w:val="en-US" w:eastAsia="zh-CN"/>
        </w:rPr>
        <w:t>依规</w:t>
      </w:r>
      <w:r>
        <w:rPr>
          <w:rFonts w:hint="eastAsia" w:ascii="仿宋_GB2312" w:hAnsi="仿宋_GB2312" w:eastAsia="仿宋_GB2312" w:cs="仿宋_GB2312"/>
          <w:sz w:val="32"/>
          <w:szCs w:val="32"/>
        </w:rPr>
        <w:t>统一划定相对独立的安全区域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设置符合消防安全要求的临时集中充电点。</w:t>
      </w:r>
    </w:p>
    <w:p w14:paraId="4DC346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镇人民政府、街道办事处应当组织住宅小区、单位所在村（居）民委员会对辖区内电动自行车以及集中停放充电场所情况进行调查统计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指导、动员业主和所有权人设置电动自行车集中停放充电场所。</w:t>
      </w:r>
    </w:p>
    <w:p w14:paraId="7E1A99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鼓励业主大会或者业主委员会通过制定住宅小区管理规约等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引导业主在集中停放充电场所或者使用集中充电设施给电动自行车充电。</w:t>
      </w:r>
    </w:p>
    <w:p w14:paraId="1B0ACE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鼓励机关、团体、企事业单位配置建设电动自行车集中停放充电场所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满足职工电动自行车充电需求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缓解住宅小区充电压力。推动在有条件的爱心驿站、</w:t>
      </w:r>
      <w:r>
        <w:rPr>
          <w:rFonts w:hint="eastAsia" w:ascii="仿宋_GB2312" w:hAnsi="仿宋_GB2312" w:eastAsia="仿宋_GB2312" w:cs="仿宋_GB2312"/>
          <w:sz w:val="32"/>
          <w:szCs w:val="32"/>
          <w:lang w:val="en-US" w:eastAsia="zh-CN"/>
        </w:rPr>
        <w:t>志愿者服务</w:t>
      </w:r>
      <w:r>
        <w:rPr>
          <w:rFonts w:hint="eastAsia" w:ascii="仿宋_GB2312" w:hAnsi="仿宋_GB2312" w:eastAsia="仿宋_GB2312" w:cs="仿宋_GB2312"/>
          <w:sz w:val="32"/>
          <w:szCs w:val="32"/>
        </w:rPr>
        <w:t>站等场所设置临时集中充电点。</w:t>
      </w:r>
    </w:p>
    <w:p w14:paraId="3D69DD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第十条</w:t>
      </w:r>
      <w:r>
        <w:rPr>
          <w:rFonts w:hint="eastAsia" w:ascii="仿宋_GB2312" w:hAnsi="仿宋_GB2312" w:eastAsia="仿宋_GB2312" w:cs="仿宋_GB2312"/>
          <w:sz w:val="32"/>
          <w:szCs w:val="32"/>
        </w:rPr>
        <w:t xml:space="preserve">  设置电动自行车集中</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充电场所和设施应当符合国家、省有关标准和规范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不得占用、堵塞消防车通道、安全出口和疏散通道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不影响消防设施的正常使用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利用民用建筑架空层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地下空间</w:t>
      </w:r>
      <w:r>
        <w:rPr>
          <w:rFonts w:hint="eastAsia" w:ascii="仿宋_GB2312" w:hAnsi="仿宋_GB2312" w:eastAsia="仿宋_GB2312" w:cs="仿宋_GB2312"/>
          <w:sz w:val="32"/>
          <w:szCs w:val="32"/>
        </w:rPr>
        <w:t>设置的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应当采取有效防火分隔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灭火</w:t>
      </w:r>
      <w:r>
        <w:rPr>
          <w:rFonts w:hint="eastAsia" w:ascii="仿宋_GB2312" w:hAnsi="仿宋_GB2312" w:eastAsia="仿宋_GB2312" w:cs="仿宋_GB2312"/>
          <w:sz w:val="32"/>
          <w:szCs w:val="32"/>
        </w:rPr>
        <w:t>等措施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符合消防安全要求。</w:t>
      </w:r>
    </w:p>
    <w:p w14:paraId="50FDD5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电动自行车集中充电设施运营主体应当履行下列消防安全职责</w:t>
      </w:r>
      <w:r>
        <w:rPr>
          <w:rFonts w:hint="eastAsia" w:ascii="仿宋_GB2312" w:hAnsi="仿宋_GB2312" w:eastAsia="仿宋_GB2312" w:cs="仿宋_GB2312"/>
          <w:sz w:val="32"/>
          <w:szCs w:val="32"/>
          <w:lang w:eastAsia="zh-CN"/>
        </w:rPr>
        <w:t>：</w:t>
      </w:r>
    </w:p>
    <w:p w14:paraId="623F52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（一）落实消防安全管理主体责任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制定消防安全制度、操作规程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加强日常巡查、检查</w:t>
      </w:r>
      <w:r>
        <w:rPr>
          <w:rFonts w:hint="eastAsia" w:ascii="仿宋_GB2312" w:hAnsi="仿宋_GB2312" w:eastAsia="仿宋_GB2312" w:cs="仿宋_GB2312"/>
          <w:sz w:val="32"/>
          <w:szCs w:val="32"/>
          <w:lang w:eastAsia="zh-CN"/>
        </w:rPr>
        <w:t>；</w:t>
      </w:r>
    </w:p>
    <w:p w14:paraId="5AD2A5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（二）保证充电设施处于正常运行状态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及时清理不能提供充电服务或者存在消防安全隐患的充电设施</w:t>
      </w:r>
      <w:r>
        <w:rPr>
          <w:rFonts w:hint="eastAsia" w:ascii="仿宋_GB2312" w:hAnsi="仿宋_GB2312" w:eastAsia="仿宋_GB2312" w:cs="仿宋_GB2312"/>
          <w:sz w:val="32"/>
          <w:szCs w:val="32"/>
          <w:lang w:eastAsia="zh-CN"/>
        </w:rPr>
        <w:t>；</w:t>
      </w:r>
    </w:p>
    <w:p w14:paraId="31D3F9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按要求</w:t>
      </w:r>
      <w:r>
        <w:rPr>
          <w:rFonts w:hint="eastAsia" w:ascii="仿宋_GB2312" w:hAnsi="仿宋_GB2312" w:eastAsia="仿宋_GB2312" w:cs="仿宋_GB2312"/>
          <w:sz w:val="32"/>
          <w:szCs w:val="32"/>
        </w:rPr>
        <w:t>配置消防设施、视频监控设备等。</w:t>
      </w:r>
    </w:p>
    <w:p w14:paraId="782EC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提供电动自行车集中充电场所的主体应当遵守前款第一项规定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并制定灭火和应急疏散预案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组织进行有针对性的消防演练。</w:t>
      </w:r>
    </w:p>
    <w:p w14:paraId="74A744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推进外卖、快递等行业实行共享电池换电模式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引导共享电池新业态健康规范发展。</w:t>
      </w:r>
    </w:p>
    <w:p w14:paraId="286068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提供电动自行车充（换）电服务的集中充</w:t>
      </w:r>
      <w:r>
        <w:rPr>
          <w:rFonts w:hint="eastAsia" w:ascii="仿宋_GB2312" w:hAnsi="仿宋_GB2312" w:eastAsia="仿宋_GB2312" w:cs="仿宋_GB2312"/>
          <w:sz w:val="32"/>
          <w:szCs w:val="32"/>
          <w:lang w:eastAsia="zh-CN"/>
        </w:rPr>
        <w:t>（换）</w:t>
      </w:r>
      <w:r>
        <w:rPr>
          <w:rFonts w:hint="eastAsia" w:ascii="仿宋_GB2312" w:hAnsi="仿宋_GB2312" w:eastAsia="仿宋_GB2312" w:cs="仿宋_GB2312"/>
          <w:sz w:val="32"/>
          <w:szCs w:val="32"/>
        </w:rPr>
        <w:t>电设施运营主体应当提供与电动自行车强制性国家标准一致的蓄电池。</w:t>
      </w:r>
    </w:p>
    <w:p w14:paraId="70C233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第十一条</w:t>
      </w:r>
      <w:r>
        <w:rPr>
          <w:rFonts w:hint="eastAsia" w:ascii="仿宋_GB2312" w:hAnsi="仿宋_GB2312" w:eastAsia="仿宋_GB2312" w:cs="仿宋_GB2312"/>
          <w:sz w:val="32"/>
          <w:szCs w:val="32"/>
        </w:rPr>
        <w:t xml:space="preserve">  住宅小区电动自行车集中</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充电设施收费分为电费和充电服务费。充电设施电价执行居民</w:t>
      </w:r>
      <w:r>
        <w:rPr>
          <w:rFonts w:hint="eastAsia" w:ascii="仿宋_GB2312" w:hAnsi="仿宋_GB2312" w:eastAsia="仿宋_GB2312" w:cs="仿宋_GB2312"/>
          <w:sz w:val="32"/>
          <w:szCs w:val="32"/>
          <w:lang w:val="en-US" w:eastAsia="zh-CN"/>
        </w:rPr>
        <w:t>合表</w:t>
      </w:r>
      <w:r>
        <w:rPr>
          <w:rFonts w:hint="eastAsia" w:ascii="仿宋_GB2312" w:hAnsi="仿宋_GB2312" w:eastAsia="仿宋_GB2312" w:cs="仿宋_GB2312"/>
          <w:sz w:val="32"/>
          <w:szCs w:val="32"/>
        </w:rPr>
        <w:t>用电价格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引导集中充电设施运营主体合理确定充电服务价格标准。</w:t>
      </w:r>
    </w:p>
    <w:p w14:paraId="58399A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鼓励采取财政补贴、延长签约运营期等方式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引导社会力量参与电动自行车集中充电设施建设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降低充电服务费用。</w:t>
      </w:r>
    </w:p>
    <w:p w14:paraId="71F0F4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val="en-US" w:eastAsia="zh-CN"/>
        </w:rPr>
        <w:t>第十二条</w:t>
      </w:r>
      <w:r>
        <w:rPr>
          <w:rFonts w:hint="eastAsia" w:ascii="仿宋_GB2312" w:hAnsi="仿宋_GB2312" w:eastAsia="仿宋_GB2312" w:cs="仿宋_GB2312"/>
          <w:sz w:val="32"/>
          <w:szCs w:val="32"/>
        </w:rPr>
        <w:t xml:space="preserve">  电动自行车使用者应当遵守消防安全有关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不得有下列行为</w:t>
      </w:r>
      <w:r>
        <w:rPr>
          <w:rFonts w:hint="eastAsia" w:ascii="仿宋_GB2312" w:hAnsi="仿宋_GB2312" w:eastAsia="仿宋_GB2312" w:cs="仿宋_GB2312"/>
          <w:sz w:val="32"/>
          <w:szCs w:val="32"/>
          <w:lang w:eastAsia="zh-CN"/>
        </w:rPr>
        <w:t>：</w:t>
      </w:r>
    </w:p>
    <w:p w14:paraId="34AEDE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（一）在建筑内的公共门厅、楼梯间、疏散通道、安全出口等影响消防通道畅通的区域停放电动自行车或者为电动自行车蓄电池充电</w:t>
      </w:r>
      <w:r>
        <w:rPr>
          <w:rFonts w:hint="eastAsia" w:ascii="仿宋_GB2312" w:hAnsi="仿宋_GB2312" w:eastAsia="仿宋_GB2312" w:cs="仿宋_GB2312"/>
          <w:sz w:val="32"/>
          <w:szCs w:val="32"/>
          <w:lang w:eastAsia="zh-CN"/>
        </w:rPr>
        <w:t>；</w:t>
      </w:r>
    </w:p>
    <w:p w14:paraId="691431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（二）违反消防安全规定在住宅、宿舍、办公楼等室内场所存放电动自行车蓄电池或者为其充电</w:t>
      </w:r>
      <w:r>
        <w:rPr>
          <w:rFonts w:hint="eastAsia" w:ascii="仿宋_GB2312" w:hAnsi="仿宋_GB2312" w:eastAsia="仿宋_GB2312" w:cs="仿宋_GB2312"/>
          <w:sz w:val="32"/>
          <w:szCs w:val="32"/>
          <w:lang w:eastAsia="zh-CN"/>
        </w:rPr>
        <w:t>；</w:t>
      </w:r>
    </w:p>
    <w:p w14:paraId="6B4F5D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（三）违反安全用电要求乱拉电线和插座为电动自行车充电</w:t>
      </w:r>
      <w:r>
        <w:rPr>
          <w:rFonts w:hint="eastAsia" w:ascii="仿宋_GB2312" w:hAnsi="仿宋_GB2312" w:eastAsia="仿宋_GB2312" w:cs="仿宋_GB2312"/>
          <w:sz w:val="32"/>
          <w:szCs w:val="32"/>
          <w:lang w:eastAsia="zh-CN"/>
        </w:rPr>
        <w:t>；</w:t>
      </w:r>
    </w:p>
    <w:p w14:paraId="2BC812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（四）损坏、挪用或者擅自拆除、停用电动自行车集中停放充电场所消防设施、器材</w:t>
      </w:r>
      <w:r>
        <w:rPr>
          <w:rFonts w:hint="eastAsia" w:ascii="仿宋_GB2312" w:hAnsi="仿宋_GB2312" w:eastAsia="仿宋_GB2312" w:cs="仿宋_GB2312"/>
          <w:sz w:val="32"/>
          <w:szCs w:val="32"/>
          <w:lang w:eastAsia="zh-CN"/>
        </w:rPr>
        <w:t>；</w:t>
      </w:r>
    </w:p>
    <w:p w14:paraId="5797B1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（五）占用防火间距、消防车通道和消防车登高操作场地</w:t>
      </w:r>
      <w:r>
        <w:rPr>
          <w:rFonts w:hint="eastAsia" w:ascii="仿宋_GB2312" w:hAnsi="仿宋_GB2312" w:eastAsia="仿宋_GB2312" w:cs="仿宋_GB2312"/>
          <w:sz w:val="32"/>
          <w:szCs w:val="32"/>
          <w:lang w:eastAsia="zh-CN"/>
        </w:rPr>
        <w:t>；</w:t>
      </w:r>
    </w:p>
    <w:p w14:paraId="0DA690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（六）携带电动自行车或其蓄电池进入乘客电梯或者公交、</w:t>
      </w:r>
      <w:r>
        <w:rPr>
          <w:rFonts w:hint="eastAsia" w:ascii="仿宋_GB2312" w:hAnsi="仿宋_GB2312" w:eastAsia="仿宋_GB2312" w:cs="仿宋_GB2312"/>
          <w:sz w:val="32"/>
          <w:szCs w:val="32"/>
          <w:lang w:val="en-US" w:eastAsia="zh-CN"/>
        </w:rPr>
        <w:t>巴士</w:t>
      </w:r>
      <w:r>
        <w:rPr>
          <w:rFonts w:hint="eastAsia" w:ascii="仿宋_GB2312" w:hAnsi="仿宋_GB2312" w:eastAsia="仿宋_GB2312" w:cs="仿宋_GB2312"/>
          <w:sz w:val="32"/>
          <w:szCs w:val="32"/>
        </w:rPr>
        <w:t>等公共交通工具</w:t>
      </w:r>
      <w:r>
        <w:rPr>
          <w:rFonts w:hint="eastAsia" w:ascii="仿宋_GB2312" w:hAnsi="仿宋_GB2312" w:eastAsia="仿宋_GB2312" w:cs="仿宋_GB2312"/>
          <w:sz w:val="32"/>
          <w:szCs w:val="32"/>
          <w:lang w:eastAsia="zh-CN"/>
        </w:rPr>
        <w:t>；</w:t>
      </w:r>
    </w:p>
    <w:p w14:paraId="4D1355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（七）在未采取有效防火分隔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灭火措施</w:t>
      </w:r>
      <w:r>
        <w:rPr>
          <w:rFonts w:hint="eastAsia" w:ascii="仿宋_GB2312" w:hAnsi="仿宋_GB2312" w:eastAsia="仿宋_GB2312" w:cs="仿宋_GB2312"/>
          <w:sz w:val="32"/>
          <w:szCs w:val="32"/>
        </w:rPr>
        <w:t>等不符合消防安全要求的民用建筑架空层停放电动自行车或者为电动自行车蓄电池充电</w:t>
      </w:r>
      <w:r>
        <w:rPr>
          <w:rFonts w:hint="eastAsia" w:ascii="仿宋_GB2312" w:hAnsi="仿宋_GB2312" w:eastAsia="仿宋_GB2312" w:cs="仿宋_GB2312"/>
          <w:sz w:val="32"/>
          <w:szCs w:val="32"/>
          <w:lang w:eastAsia="zh-CN"/>
        </w:rPr>
        <w:t>；</w:t>
      </w:r>
    </w:p>
    <w:p w14:paraId="5C4C22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（八）其他违反消防安全</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规定的行为。</w:t>
      </w:r>
    </w:p>
    <w:p w14:paraId="5512C3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val="en-US" w:eastAsia="zh-CN"/>
        </w:rPr>
        <w:t>第十三条</w:t>
      </w:r>
      <w:r>
        <w:rPr>
          <w:rFonts w:hint="eastAsia" w:ascii="仿宋_GB2312" w:hAnsi="仿宋_GB2312" w:eastAsia="仿宋_GB2312" w:cs="仿宋_GB2312"/>
          <w:sz w:val="32"/>
          <w:szCs w:val="32"/>
        </w:rPr>
        <w:t xml:space="preserve">  物业服务企业应当按照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和物业服务合同约定履行消防安全管理职责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并履行下列消防安全管理责任</w:t>
      </w:r>
      <w:r>
        <w:rPr>
          <w:rFonts w:hint="eastAsia" w:ascii="仿宋_GB2312" w:hAnsi="仿宋_GB2312" w:eastAsia="仿宋_GB2312" w:cs="仿宋_GB2312"/>
          <w:sz w:val="32"/>
          <w:szCs w:val="32"/>
          <w:lang w:eastAsia="zh-CN"/>
        </w:rPr>
        <w:t>：</w:t>
      </w:r>
    </w:p>
    <w:p w14:paraId="24327E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（一）承接物业时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与建设单位、业主委员会等共同对电动自行车停放充电场所及有关消防设施等进行查验</w:t>
      </w:r>
      <w:r>
        <w:rPr>
          <w:rFonts w:hint="eastAsia" w:ascii="仿宋_GB2312" w:hAnsi="仿宋_GB2312" w:eastAsia="仿宋_GB2312" w:cs="仿宋_GB2312"/>
          <w:sz w:val="32"/>
          <w:szCs w:val="32"/>
          <w:lang w:eastAsia="zh-CN"/>
        </w:rPr>
        <w:t>；</w:t>
      </w:r>
    </w:p>
    <w:p w14:paraId="4A551B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（二）将电动自行车消防安全纳入消防安全管理制度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落实消防安全措施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对电动自行车停放充电场所进行维护管理</w:t>
      </w:r>
      <w:r>
        <w:rPr>
          <w:rFonts w:hint="eastAsia" w:ascii="仿宋_GB2312" w:hAnsi="仿宋_GB2312" w:eastAsia="仿宋_GB2312" w:cs="仿宋_GB2312"/>
          <w:sz w:val="32"/>
          <w:szCs w:val="32"/>
          <w:lang w:eastAsia="zh-CN"/>
        </w:rPr>
        <w:t>；</w:t>
      </w:r>
    </w:p>
    <w:p w14:paraId="60D9D9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（三）开展防火巡查和定期检查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及时处理火灾隐患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无法处理的应当及时向有关部门或者单位报告</w:t>
      </w:r>
      <w:r>
        <w:rPr>
          <w:rFonts w:hint="eastAsia" w:ascii="仿宋_GB2312" w:hAnsi="仿宋_GB2312" w:eastAsia="仿宋_GB2312" w:cs="仿宋_GB2312"/>
          <w:sz w:val="32"/>
          <w:szCs w:val="32"/>
          <w:lang w:eastAsia="zh-CN"/>
        </w:rPr>
        <w:t>；</w:t>
      </w:r>
    </w:p>
    <w:p w14:paraId="5AB98B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无合规牌照、使用违规改装或者配置更大功率蓄电池的电动自行车进入物业管理区域的予以劝阻</w:t>
      </w:r>
      <w:r>
        <w:rPr>
          <w:rFonts w:hint="eastAsia" w:ascii="仿宋_GB2312" w:hAnsi="仿宋_GB2312" w:eastAsia="仿宋_GB2312" w:cs="仿宋_GB2312"/>
          <w:sz w:val="32"/>
          <w:szCs w:val="32"/>
          <w:lang w:eastAsia="zh-CN"/>
        </w:rPr>
        <w:t>；</w:t>
      </w:r>
    </w:p>
    <w:p w14:paraId="58579D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（五）其他电动自行车消防安全职责。</w:t>
      </w:r>
    </w:p>
    <w:p w14:paraId="4E7F12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物业服务企业发现有本办法第十二条第一款规定行为的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应当进行劝阻、制止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劝阻、制止无效的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消防</w:t>
      </w:r>
      <w:r>
        <w:rPr>
          <w:rFonts w:hint="eastAsia" w:ascii="仿宋_GB2312" w:hAnsi="仿宋_GB2312" w:eastAsia="仿宋_GB2312" w:cs="仿宋_GB2312"/>
          <w:sz w:val="32"/>
          <w:szCs w:val="32"/>
        </w:rPr>
        <w:t>部门报告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w:t>
      </w:r>
      <w:r>
        <w:rPr>
          <w:rFonts w:hint="eastAsia" w:ascii="仿宋_GB2312" w:hAnsi="仿宋_GB2312" w:eastAsia="仿宋_GB2312" w:cs="仿宋_GB2312"/>
          <w:sz w:val="32"/>
          <w:szCs w:val="32"/>
        </w:rPr>
        <w:t>部门按照规定及时处理。对违法占用、堵塞、封闭疏散通道、安全出口、消防车通道、消防车登高操作场地的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物业服务企业按照管理规约、物业服务合同约定等定期巡查清理。</w:t>
      </w:r>
    </w:p>
    <w:p w14:paraId="2CDC94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第十四条</w:t>
      </w:r>
      <w:r>
        <w:rPr>
          <w:rFonts w:hint="eastAsia" w:ascii="仿宋_GB2312" w:hAnsi="仿宋_GB2312" w:eastAsia="仿宋_GB2312" w:cs="仿宋_GB2312"/>
          <w:sz w:val="32"/>
          <w:szCs w:val="32"/>
        </w:rPr>
        <w:t xml:space="preserve">  未聘请物业服务企业的综合楼、商住楼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由其业主或者业主委员会自行对电动自行车消防安全进行管理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并明确管理组织或者人员专门负责日常管理。</w:t>
      </w:r>
    </w:p>
    <w:p w14:paraId="030403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实行自我管理的住宅小区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由业主委员会负责电动自行车消防安全日常管理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未聘请物业服务企业且未成立业主委员会的住宅小区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由村（居）民委员会负责。</w:t>
      </w:r>
    </w:p>
    <w:p w14:paraId="26D361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第十五条</w:t>
      </w:r>
      <w:r>
        <w:rPr>
          <w:rFonts w:hint="eastAsia" w:ascii="仿宋_GB2312" w:hAnsi="仿宋_GB2312" w:eastAsia="仿宋_GB2312" w:cs="仿宋_GB2312"/>
          <w:sz w:val="32"/>
          <w:szCs w:val="32"/>
        </w:rPr>
        <w:t xml:space="preserve">  使用电动自行车从事快递、外卖等经营活动的企业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p>
    <w:p w14:paraId="68C56E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（一）将电动自行车消防安全管理纳入内部管理规章制度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val="en-US" w:eastAsia="zh-CN"/>
        </w:rPr>
        <w:t>安全责任人</w:t>
      </w:r>
      <w:r>
        <w:rPr>
          <w:rFonts w:hint="eastAsia" w:ascii="仿宋_GB2312" w:hAnsi="仿宋_GB2312" w:eastAsia="仿宋_GB2312" w:cs="仿宋_GB2312"/>
          <w:sz w:val="32"/>
          <w:szCs w:val="32"/>
          <w:lang w:eastAsia="zh-CN"/>
        </w:rPr>
        <w:t>。</w:t>
      </w:r>
    </w:p>
    <w:p w14:paraId="47A909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（二）对驾驶人进行消防安全教育和培训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督促驾驶人使用符合国家标准的电动自行车以及蓄电池、充电器等产品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规范电动自行车停放和安全充电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及时预警提示驾驶人违规停放充电、超速逆行等行为</w:t>
      </w:r>
      <w:r>
        <w:rPr>
          <w:rFonts w:hint="eastAsia" w:ascii="仿宋_GB2312" w:hAnsi="仿宋_GB2312" w:eastAsia="仿宋_GB2312" w:cs="仿宋_GB2312"/>
          <w:sz w:val="32"/>
          <w:szCs w:val="32"/>
          <w:lang w:eastAsia="zh-CN"/>
        </w:rPr>
        <w:t>。</w:t>
      </w:r>
    </w:p>
    <w:p w14:paraId="09BBF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w:t>
      </w:r>
      <w:r>
        <w:rPr>
          <w:rFonts w:hint="eastAsia" w:ascii="仿宋_GB2312" w:hAnsi="仿宋_GB2312" w:eastAsia="仿宋_GB2312" w:cs="仿宋_GB2312"/>
          <w:sz w:val="32"/>
          <w:szCs w:val="32"/>
          <w:lang w:val="en-US" w:eastAsia="zh-CN"/>
        </w:rPr>
        <w:t>经营场所</w:t>
      </w:r>
      <w:r>
        <w:rPr>
          <w:rFonts w:hint="eastAsia" w:ascii="仿宋_GB2312" w:hAnsi="仿宋_GB2312" w:eastAsia="仿宋_GB2312" w:cs="仿宋_GB2312"/>
          <w:sz w:val="32"/>
          <w:szCs w:val="32"/>
        </w:rPr>
        <w:t>设置集中停放充电场所和设施的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应当符合本办法第十条第一款的规定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并对站点配电箱、灭火器、安全标识等物品准确标识、定期管理。</w:t>
      </w:r>
    </w:p>
    <w:p w14:paraId="14E7D3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鼓励统一配备电动自行车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统一标识、统一管理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对电动自行车进行视频、图片抽检管理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确保实际使用车辆与系统登记一致。</w:t>
      </w:r>
    </w:p>
    <w:p w14:paraId="3B50B0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rPr>
        <w:t>第十六条</w:t>
      </w:r>
      <w:r>
        <w:rPr>
          <w:rFonts w:hint="eastAsia" w:ascii="仿宋_GB2312" w:hAnsi="仿宋_GB2312" w:eastAsia="仿宋_GB2312" w:cs="仿宋_GB2312"/>
          <w:sz w:val="32"/>
          <w:szCs w:val="32"/>
        </w:rPr>
        <w:t xml:space="preserve">  电动自行车租赁经营主体应当在本市规定的投放区域内履行下列消防安全职责</w:t>
      </w:r>
      <w:r>
        <w:rPr>
          <w:rFonts w:hint="eastAsia" w:ascii="仿宋_GB2312" w:hAnsi="仿宋_GB2312" w:eastAsia="仿宋_GB2312" w:cs="仿宋_GB2312"/>
          <w:sz w:val="32"/>
          <w:szCs w:val="32"/>
          <w:lang w:eastAsia="zh-CN"/>
        </w:rPr>
        <w:t>：</w:t>
      </w:r>
    </w:p>
    <w:p w14:paraId="1DD0F6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（一）投放的电动自行车、蓄电池、充电设施等符合国家、省市有关标准和规范</w:t>
      </w:r>
      <w:r>
        <w:rPr>
          <w:rFonts w:hint="eastAsia" w:ascii="仿宋_GB2312" w:hAnsi="仿宋_GB2312" w:eastAsia="仿宋_GB2312" w:cs="仿宋_GB2312"/>
          <w:sz w:val="32"/>
          <w:szCs w:val="32"/>
          <w:lang w:eastAsia="zh-CN"/>
        </w:rPr>
        <w:t>。</w:t>
      </w:r>
    </w:p>
    <w:p w14:paraId="709C16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（二）设置电动自行车集中停放充电场所和设施的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应当符合本办法第十条第一款的规定</w:t>
      </w:r>
      <w:r>
        <w:rPr>
          <w:rFonts w:hint="eastAsia" w:ascii="仿宋_GB2312" w:hAnsi="仿宋_GB2312" w:eastAsia="仿宋_GB2312" w:cs="仿宋_GB2312"/>
          <w:sz w:val="32"/>
          <w:szCs w:val="32"/>
          <w:lang w:eastAsia="zh-CN"/>
        </w:rPr>
        <w:t>。</w:t>
      </w:r>
    </w:p>
    <w:p w14:paraId="0BB9EB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（三）及时清理投放的违规停放、充电的电动自行车</w:t>
      </w:r>
      <w:r>
        <w:rPr>
          <w:rFonts w:hint="eastAsia" w:ascii="仿宋_GB2312" w:hAnsi="仿宋_GB2312" w:eastAsia="仿宋_GB2312" w:cs="仿宋_GB2312"/>
          <w:sz w:val="32"/>
          <w:szCs w:val="32"/>
          <w:lang w:eastAsia="zh-CN"/>
        </w:rPr>
        <w:t>。</w:t>
      </w:r>
    </w:p>
    <w:p w14:paraId="14C5EA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（四）其他依法应当履行的消防安全职责。</w:t>
      </w:r>
    </w:p>
    <w:p w14:paraId="3B49EC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禁止投放拼装、改装电动自行车用于租赁等经营活动。</w:t>
      </w:r>
    </w:p>
    <w:p w14:paraId="656D3F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第十七条</w:t>
      </w:r>
      <w:r>
        <w:rPr>
          <w:rFonts w:hint="eastAsia" w:ascii="仿宋_GB2312" w:hAnsi="仿宋_GB2312" w:eastAsia="仿宋_GB2312" w:cs="仿宋_GB2312"/>
          <w:sz w:val="32"/>
          <w:szCs w:val="32"/>
        </w:rPr>
        <w:t xml:space="preserve">  鼓励、引导使用电动自行车从事经营活动的单位、集中充电设施运营主体投保火灾公众责任保险。</w:t>
      </w:r>
    </w:p>
    <w:p w14:paraId="6B74AB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第十八条</w:t>
      </w:r>
      <w:r>
        <w:rPr>
          <w:rFonts w:hint="eastAsia" w:ascii="仿宋_GB2312" w:hAnsi="仿宋_GB2312" w:eastAsia="仿宋_GB2312" w:cs="仿宋_GB2312"/>
          <w:sz w:val="32"/>
          <w:szCs w:val="32"/>
        </w:rPr>
        <w:t xml:space="preserve">  有关行业协会应当加强行业自律管理。电动自行车生产、销售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快递、外卖等行业协会可以在有关部门指导下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将电动自行车消防安全管理纳入行业自律公约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统一规范标准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并督促会员单位落实。</w:t>
      </w:r>
    </w:p>
    <w:p w14:paraId="0B7323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使用电动自行车从事快递、外卖等经营活动的企业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应当按照消防安全</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以及本办法</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内部管理规章制度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val="en-US" w:eastAsia="zh-CN"/>
        </w:rPr>
        <w:t>即时</w:t>
      </w:r>
      <w:r>
        <w:rPr>
          <w:rFonts w:hint="eastAsia" w:ascii="仿宋_GB2312" w:hAnsi="仿宋_GB2312" w:eastAsia="仿宋_GB2312" w:cs="仿宋_GB2312"/>
          <w:sz w:val="32"/>
          <w:szCs w:val="32"/>
        </w:rPr>
        <w:t>配送从业人员的管理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企业未按照规定落实安全管理制度的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由有关部门依法</w:t>
      </w:r>
      <w:r>
        <w:rPr>
          <w:rFonts w:hint="eastAsia" w:ascii="仿宋_GB2312" w:hAnsi="仿宋_GB2312" w:eastAsia="仿宋_GB2312" w:cs="仿宋_GB2312"/>
          <w:sz w:val="32"/>
          <w:szCs w:val="32"/>
          <w:lang w:eastAsia="zh-CN"/>
        </w:rPr>
        <w:t>依规</w:t>
      </w:r>
      <w:r>
        <w:rPr>
          <w:rFonts w:hint="eastAsia" w:ascii="仿宋_GB2312" w:hAnsi="仿宋_GB2312" w:eastAsia="仿宋_GB2312" w:cs="仿宋_GB2312"/>
          <w:sz w:val="32"/>
          <w:szCs w:val="32"/>
        </w:rPr>
        <w:t>追究责任。</w:t>
      </w:r>
    </w:p>
    <w:p w14:paraId="182BC8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w:t>
      </w:r>
      <w:r>
        <w:rPr>
          <w:rFonts w:hint="eastAsia" w:ascii="仿宋_GB2312" w:hAnsi="仿宋_GB2312" w:eastAsia="仿宋_GB2312" w:cs="仿宋_GB2312"/>
          <w:sz w:val="32"/>
          <w:szCs w:val="32"/>
        </w:rPr>
        <w:t xml:space="preserve">  有关部门和单位应当会同行业协会建立联合工作机制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按照各自职责将电动自行车生产、销售、使用、回收报废以及违法违规信息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快递、外卖企业有关车辆、人员管理等信息</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共享。将电动自行车消防安全多次违法、严重违法行为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以及电动自行车产品质量问题等信息纳入信用管理。</w:t>
      </w:r>
    </w:p>
    <w:p w14:paraId="2A884C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第二十条</w:t>
      </w:r>
      <w:r>
        <w:rPr>
          <w:rFonts w:hint="eastAsia" w:ascii="仿宋_GB2312" w:hAnsi="仿宋_GB2312" w:eastAsia="仿宋_GB2312" w:cs="仿宋_GB2312"/>
          <w:sz w:val="32"/>
          <w:szCs w:val="32"/>
        </w:rPr>
        <w:t xml:space="preserve">  电动自行车引发造成人员死亡或者产生社会影响的一般及以上火灾责任事故的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对有关生产、销售、改装、停放、充电等各环节责任方实施溯源、跨区域调查处理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依规</w:t>
      </w:r>
      <w:r>
        <w:rPr>
          <w:rFonts w:hint="eastAsia" w:ascii="仿宋_GB2312" w:hAnsi="仿宋_GB2312" w:eastAsia="仿宋_GB2312" w:cs="仿宋_GB2312"/>
          <w:sz w:val="32"/>
          <w:szCs w:val="32"/>
        </w:rPr>
        <w:t>追究有关单位和个人责任。</w:t>
      </w:r>
    </w:p>
    <w:p w14:paraId="6499A0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方正黑体_GBK" w:hAnsi="方正黑体_GBK" w:eastAsia="方正黑体_GBK" w:cs="方正黑体_GBK"/>
          <w:sz w:val="32"/>
          <w:szCs w:val="32"/>
          <w:lang w:val="en-US" w:eastAsia="zh-CN"/>
        </w:rPr>
        <w:t>第二十一条</w:t>
      </w:r>
      <w:r>
        <w:rPr>
          <w:rFonts w:hint="eastAsia" w:ascii="仿宋_GB2312" w:hAnsi="仿宋_GB2312" w:eastAsia="仿宋_GB2312" w:cs="仿宋_GB2312"/>
          <w:sz w:val="32"/>
          <w:szCs w:val="32"/>
        </w:rPr>
        <w:t xml:space="preserve">  物业服务企业违反本办法规定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中华人民共和国消防法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w:t>
      </w:r>
      <w:r>
        <w:rPr>
          <w:rFonts w:hint="eastAsia" w:ascii="仿宋_GB2312" w:hAnsi="仿宋_GB2312" w:eastAsia="仿宋_GB2312" w:cs="仿宋_GB2312"/>
          <w:sz w:val="32"/>
          <w:szCs w:val="32"/>
          <w:lang w:val="en-US" w:eastAsia="zh-CN"/>
        </w:rPr>
        <w:t>西</w:t>
      </w:r>
      <w:r>
        <w:rPr>
          <w:rFonts w:hint="eastAsia" w:ascii="仿宋_GB2312" w:hAnsi="仿宋_GB2312" w:eastAsia="仿宋_GB2312" w:cs="仿宋_GB2312"/>
          <w:sz w:val="32"/>
          <w:szCs w:val="32"/>
        </w:rPr>
        <w:t>省消防条例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的规定进行</w:t>
      </w:r>
      <w:r>
        <w:rPr>
          <w:rFonts w:hint="eastAsia" w:ascii="仿宋_GB2312" w:hAnsi="仿宋_GB2312" w:eastAsia="仿宋_GB2312" w:cs="仿宋_GB2312"/>
          <w:sz w:val="32"/>
          <w:szCs w:val="32"/>
          <w:lang w:val="en-US" w:eastAsia="zh-CN"/>
        </w:rPr>
        <w:t>查处。</w:t>
      </w:r>
    </w:p>
    <w:p w14:paraId="5B7097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val="en-US" w:eastAsia="zh-CN"/>
        </w:rPr>
        <w:t>第二十二条</w:t>
      </w:r>
      <w:r>
        <w:rPr>
          <w:rFonts w:hint="eastAsia" w:ascii="仿宋_GB2312" w:hAnsi="仿宋_GB2312" w:eastAsia="仿宋_GB2312" w:cs="仿宋_GB2312"/>
          <w:sz w:val="32"/>
          <w:szCs w:val="32"/>
        </w:rPr>
        <w:t xml:space="preserve">  提供电动自行车充（换）电服务的</w:t>
      </w:r>
      <w:r>
        <w:rPr>
          <w:rFonts w:hint="eastAsia" w:ascii="仿宋_GB2312" w:hAnsi="仿宋_GB2312" w:eastAsia="仿宋_GB2312" w:cs="仿宋_GB2312"/>
          <w:sz w:val="32"/>
          <w:szCs w:val="32"/>
          <w:lang w:val="en-US"/>
        </w:rPr>
        <w:t>集中充电设施运营主体</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电动自行车租赁经营主体违反本办法规定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中华人民共和国产品质量法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《强制性产品认证管理规定》</w:t>
      </w:r>
      <w:r>
        <w:rPr>
          <w:rFonts w:hint="eastAsia" w:ascii="仿宋_GB2312" w:hAnsi="仿宋_GB2312" w:eastAsia="仿宋_GB2312" w:cs="仿宋_GB2312"/>
          <w:sz w:val="32"/>
          <w:szCs w:val="32"/>
        </w:rPr>
        <w:t>等有关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的规定进行</w:t>
      </w:r>
      <w:r>
        <w:rPr>
          <w:rFonts w:hint="eastAsia" w:ascii="仿宋_GB2312" w:hAnsi="仿宋_GB2312" w:eastAsia="仿宋_GB2312" w:cs="仿宋_GB2312"/>
          <w:sz w:val="32"/>
          <w:szCs w:val="32"/>
          <w:lang w:val="en-US" w:eastAsia="zh-CN"/>
        </w:rPr>
        <w:t>查处</w:t>
      </w:r>
      <w:r>
        <w:rPr>
          <w:rFonts w:hint="eastAsia" w:ascii="仿宋_GB2312" w:hAnsi="仿宋_GB2312" w:eastAsia="仿宋_GB2312" w:cs="仿宋_GB2312"/>
          <w:sz w:val="32"/>
          <w:szCs w:val="32"/>
        </w:rPr>
        <w:t>。</w:t>
      </w:r>
    </w:p>
    <w:p w14:paraId="3D2479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val="en-US" w:eastAsia="zh-CN"/>
        </w:rPr>
        <w:t>第二十三条</w:t>
      </w:r>
      <w:r>
        <w:rPr>
          <w:rFonts w:hint="eastAsia" w:ascii="仿宋_GB2312" w:hAnsi="仿宋_GB2312" w:eastAsia="仿宋_GB2312" w:cs="仿宋_GB2312"/>
          <w:sz w:val="32"/>
          <w:szCs w:val="32"/>
        </w:rPr>
        <w:t xml:space="preserve">  本办法下列用语的含义</w:t>
      </w:r>
      <w:r>
        <w:rPr>
          <w:rFonts w:hint="eastAsia" w:ascii="仿宋_GB2312" w:hAnsi="仿宋_GB2312" w:eastAsia="仿宋_GB2312" w:cs="仿宋_GB2312"/>
          <w:sz w:val="32"/>
          <w:szCs w:val="32"/>
          <w:lang w:eastAsia="zh-CN"/>
        </w:rPr>
        <w:t>：</w:t>
      </w:r>
    </w:p>
    <w:p w14:paraId="341A96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（一）电动自行车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是指以车载蓄电池作为辅助能源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具备脚踏骑行功能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能实现电助动、电驱动功能的两轮自行车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包括符合上述情形要求未登记上牌的电动自行车。</w:t>
      </w:r>
    </w:p>
    <w:p w14:paraId="4E0EB6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（二）登记管理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是指将电动自行车所有人信息、电动自行车车架号及蓄电池识别代码等纳入登记事项。</w:t>
      </w:r>
    </w:p>
    <w:p w14:paraId="7BCD36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（三）集中充电设施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是指为电动自行车或者蓄电池集中提供电能的相关设施的总称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包括交流充电控制器、换电柜和充电柜等。</w:t>
      </w:r>
    </w:p>
    <w:p w14:paraId="5340C7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本办法应用中的具体问题由市消防救援支队负责解释说明。</w:t>
      </w:r>
    </w:p>
    <w:p w14:paraId="1320ED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第二十五条</w:t>
      </w:r>
      <w:r>
        <w:rPr>
          <w:rFonts w:hint="eastAsia" w:ascii="仿宋_GB2312" w:hAnsi="仿宋_GB2312" w:eastAsia="仿宋_GB2312" w:cs="仿宋_GB2312"/>
          <w:sz w:val="32"/>
          <w:szCs w:val="32"/>
        </w:rPr>
        <w:t xml:space="preserve">  本</w:t>
      </w:r>
      <w:r>
        <w:rPr>
          <w:rFonts w:hint="default" w:ascii="Times New Roman" w:hAnsi="Times New Roman" w:eastAsia="仿宋_GB2312" w:cs="Times New Roman"/>
          <w:sz w:val="32"/>
          <w:szCs w:val="32"/>
        </w:rPr>
        <w:t>办法自2024年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日起施行</w:t>
      </w:r>
      <w:r>
        <w:rPr>
          <w:rFonts w:hint="eastAsia" w:ascii="仿宋_GB2312" w:hAnsi="仿宋_GB2312" w:eastAsia="仿宋_GB2312" w:cs="仿宋_GB2312"/>
          <w:sz w:val="32"/>
          <w:szCs w:val="32"/>
        </w:rPr>
        <w:t>。</w:t>
      </w:r>
    </w:p>
    <w:p w14:paraId="1E387159">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135E1645">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0AB80B69">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6513BF04">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7E0818C6">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23A37B9F">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4D7D9053">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7D514883">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417688FB">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6CC5ECA1">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1799F0B9">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36608FBF">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5AAA47CA">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1E68D97A">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54977D16">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6E66A2FB">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645ED9D5">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30B48B5B">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7C95FF25">
      <w:pPr>
        <w:pStyle w:val="3"/>
        <w:rPr>
          <w:rFonts w:hint="default"/>
          <w:lang w:val="en-US" w:eastAsia="zh-CN"/>
        </w:rPr>
      </w:pPr>
      <w:r>
        <w:rPr>
          <w:rFonts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149860</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1.8pt;height:0pt;width:442.2pt;z-index:251665408;mso-width-relative:page;mso-height-relative:page;" filled="f" stroked="t" coordsize="21600,21600" o:gfxdata="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wPygtYAAAAIAQAADwAAAAAAAAABACAAAAAiAAAAZHJzL2Rvd25yZXYueG1sUEsBAhQA&#10;FAAAAAgAh07iQDOlG6f0AQAA5AMAAA4AAAAAAAAAAQAgAAAAJQEAAGRycy9lMm9Eb2MueG1sUEsF&#10;BgAAAAAGAAYAWQEAAIsFAAAAAA==&#10;">
                <v:fill on="f" focussize="0,0"/>
                <v:stroke color="#000000" joinstyle="round"/>
                <v:imagedata o:title=""/>
                <o:lock v:ext="edit" aspectratio="f"/>
              </v:line>
            </w:pict>
          </mc:Fallback>
        </mc:AlternateContent>
      </w:r>
    </w:p>
    <w:p w14:paraId="091C41BC">
      <w:pPr>
        <w:spacing w:line="400" w:lineRule="exact"/>
        <w:ind w:left="840" w:hanging="840" w:hangingChars="300"/>
        <w:jc w:val="both"/>
        <w:rPr>
          <w:rFonts w:eastAsia="方正仿宋_GBK"/>
          <w:sz w:val="28"/>
          <w:szCs w:val="28"/>
        </w:rPr>
      </w:pPr>
      <w:r>
        <w:rPr>
          <w:rFonts w:eastAsia="方正仿宋_GBK"/>
          <w:sz w:val="28"/>
          <w:szCs w:val="28"/>
        </w:rPr>
        <w:t>抄送：</w:t>
      </w:r>
      <w:r>
        <w:rPr>
          <w:rFonts w:hint="eastAsia" w:eastAsia="方正仿宋_GBK"/>
          <w:sz w:val="28"/>
          <w:szCs w:val="28"/>
          <w:lang w:eastAsia="zh-CN"/>
        </w:rPr>
        <w:t>市</w:t>
      </w:r>
      <w:r>
        <w:rPr>
          <w:rFonts w:hint="eastAsia" w:eastAsia="方正仿宋_GBK"/>
          <w:sz w:val="28"/>
          <w:szCs w:val="28"/>
          <w:lang w:val="en-US" w:eastAsia="zh-CN"/>
        </w:rPr>
        <w:t>发改委，市公安局，市市场监管局，市自然资源局，市住建局，市城管局</w:t>
      </w:r>
      <w:r>
        <w:rPr>
          <w:rFonts w:eastAsia="方正仿宋_GBK"/>
          <w:sz w:val="28"/>
          <w:szCs w:val="28"/>
        </w:rPr>
        <w:t>。</w:t>
      </w:r>
    </w:p>
    <w:p w14:paraId="54A514C2">
      <w:pPr>
        <w:adjustRightInd w:val="0"/>
        <w:snapToGrid w:val="0"/>
        <w:spacing w:line="480" w:lineRule="exact"/>
        <w:ind w:right="-107" w:rightChars="-51"/>
        <w:jc w:val="left"/>
        <w:rPr>
          <w:rFonts w:hint="default" w:ascii="Times New Roman" w:hAnsi="Times New Roman" w:eastAsia="方正仿宋_GBK" w:cs="Times New Roman"/>
          <w:sz w:val="28"/>
          <w:szCs w:val="28"/>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24765</wp:posOffset>
                </wp:positionV>
                <wp:extent cx="561594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95pt;height:0pt;width:442.2pt;z-index:251660288;mso-width-relative:page;mso-height-relative:page;" filled="f" stroked="t" coordsize="21600,21600" o:gfxdata="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nQldtUAAAAGAQAADwAAAAAAAAABACAAAAAiAAAAZHJzL2Rvd25yZXYueG1sUEsBAhQA&#10;FAAAAAgAh07iQNJXOMT1AQAA5gMAAA4AAAAAAAAAAQAgAAAAJAEAAGRycy9lMm9Eb2MueG1sUEsF&#10;BgAAAAAGAAYAWQEAAIsFAAAAAA==&#10;">
                <v:fill on="f" focussize="0,0"/>
                <v:stroke color="#000000" joinstyle="round"/>
                <v:imagedata o:title=""/>
                <o:lock v:ext="edit" aspectratio="f"/>
              </v:line>
            </w:pict>
          </mc:Fallback>
        </mc:AlternateContent>
      </w:r>
      <w:r>
        <w:rPr>
          <w:rFonts w:hint="eastAsia" w:eastAsia="方正仿宋_GBK"/>
          <w:sz w:val="28"/>
          <w:szCs w:val="28"/>
          <w:lang w:eastAsia="zh-CN"/>
        </w:rPr>
        <w:t>九江市</w:t>
      </w:r>
      <w:r>
        <w:rPr>
          <w:rFonts w:eastAsia="方正仿宋_GBK"/>
          <w:sz w:val="28"/>
          <w:szCs w:val="28"/>
        </w:rPr>
        <w:t>消防救援</w:t>
      </w:r>
      <w:r>
        <w:rPr>
          <w:rFonts w:hint="eastAsia" w:eastAsia="方正仿宋_GBK"/>
          <w:sz w:val="28"/>
          <w:szCs w:val="28"/>
          <w:lang w:eastAsia="zh-CN"/>
        </w:rPr>
        <w:t>支</w:t>
      </w:r>
      <w:r>
        <w:rPr>
          <w:rFonts w:eastAsia="方正仿宋_GBK"/>
          <w:sz w:val="28"/>
          <w:szCs w:val="28"/>
        </w:rPr>
        <w:t>队</w:t>
      </w:r>
      <w:r>
        <w:rPr>
          <w:rFonts w:eastAsia="方正仿宋_GBK"/>
          <w:w w:val="80"/>
          <w:szCs w:val="21"/>
        </w:rPr>
        <w:t xml:space="preserve">              </w:t>
      </w:r>
      <w:r>
        <w:rPr>
          <w:rFonts w:hint="eastAsia" w:eastAsia="方正仿宋_GBK"/>
          <w:w w:val="80"/>
          <w:szCs w:val="21"/>
        </w:rPr>
        <w:t xml:space="preserve"> </w:t>
      </w:r>
      <w:r>
        <w:rPr>
          <w:rFonts w:eastAsia="方正仿宋_GBK"/>
          <w:w w:val="80"/>
          <w:szCs w:val="21"/>
        </w:rPr>
        <w:t xml:space="preserve">    </w:t>
      </w:r>
      <w:r>
        <w:rPr>
          <w:rFonts w:hint="eastAsia" w:eastAsia="方正仿宋_GBK"/>
          <w:w w:val="80"/>
          <w:szCs w:val="21"/>
          <w:lang w:val="en-US" w:eastAsia="zh-CN"/>
        </w:rPr>
        <w:t xml:space="preserve"> </w:t>
      </w:r>
      <w:r>
        <w:rPr>
          <w:rFonts w:eastAsia="方正仿宋_GBK"/>
          <w:w w:val="80"/>
          <w:szCs w:val="21"/>
        </w:rPr>
        <w:t xml:space="preserve">            </w:t>
      </w:r>
      <w:r>
        <w:rPr>
          <w:rFonts w:hint="eastAsia" w:eastAsia="方正仿宋_GBK"/>
          <w:w w:val="80"/>
          <w:szCs w:val="21"/>
          <w:lang w:val="en-US" w:eastAsia="zh-CN"/>
        </w:rPr>
        <w:t xml:space="preserve">     </w:t>
      </w:r>
      <w:r>
        <w:rPr>
          <w:rFonts w:eastAsia="方正仿宋_GBK"/>
          <w:w w:val="80"/>
          <w:szCs w:val="21"/>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日印发</w:t>
      </w:r>
    </w:p>
    <w:p w14:paraId="67960E21">
      <w:pPr>
        <w:keepNext w:val="0"/>
        <w:keepLines w:val="0"/>
        <w:pageBreakBefore w:val="0"/>
        <w:widowControl w:val="0"/>
        <w:kinsoku/>
        <w:wordWrap/>
        <w:overflowPunct/>
        <w:topLinePunct w:val="0"/>
        <w:autoSpaceDE/>
        <w:autoSpaceDN/>
        <w:bidi w:val="0"/>
        <w:adjustRightInd/>
        <w:snapToGrid/>
        <w:spacing w:line="20" w:lineRule="exact"/>
        <w:jc w:val="both"/>
        <w:textAlignment w:val="auto"/>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45720</wp:posOffset>
                </wp:positionV>
                <wp:extent cx="5615940"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3.6pt;height:0pt;width:442.2pt;z-index:251661312;mso-width-relative:page;mso-height-relative:page;" filled="f" stroked="t" coordsize="21600,21600" o:gfxdata="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CNoj1QAAAAYBAAAPAAAAAAAAAAEAIAAAACIAAABkcnMvZG93bnJldi54bWxQSwECFAAU&#10;AAAACACHTuJAZ2pT5fQBAADnAwAADgAAAAAAAAABACAAAAAkAQAAZHJzL2Uyb0RvYy54bWxQSwUG&#10;AAAAAAYABgBZAQAAigUAAAAA&#10;">
                <v:fill on="f" focussize="0,0"/>
                <v:stroke weight="1pt" color="#000000" joinstyle="round"/>
                <v:imagedata o:title=""/>
                <o:lock v:ext="edit" aspectratio="f"/>
              </v:line>
            </w:pict>
          </mc:Fallback>
        </mc:AlternateContent>
      </w:r>
    </w:p>
    <w:sectPr>
      <w:footerReference r:id="rId3" w:type="default"/>
      <w:pgSz w:w="11906" w:h="16838"/>
      <w:pgMar w:top="2098" w:right="1474"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BD8D12-4CF8-42CD-93ED-F9F2520224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06B873-5EF5-4138-BD1B-7B0D7945469C}"/>
  </w:font>
  <w:font w:name="方正小标宋简体">
    <w:panose1 w:val="03000509000000000000"/>
    <w:charset w:val="86"/>
    <w:family w:val="auto"/>
    <w:pitch w:val="default"/>
    <w:sig w:usb0="00000001" w:usb1="080E0000" w:usb2="00000000" w:usb3="00000000" w:csb0="00040000" w:csb1="00000000"/>
    <w:embedRegular r:id="rId3" w:fontKey="{1D65C633-D046-43CE-A9A1-EBA584DC8B0A}"/>
  </w:font>
  <w:font w:name="仿宋">
    <w:panose1 w:val="02010609060101010101"/>
    <w:charset w:val="86"/>
    <w:family w:val="auto"/>
    <w:pitch w:val="default"/>
    <w:sig w:usb0="800002BF" w:usb1="38CF7CFA" w:usb2="00000016" w:usb3="00000000" w:csb0="00040001" w:csb1="00000000"/>
    <w:embedRegular r:id="rId4" w:fontKey="{6216923A-BB54-444C-AB14-BEEABDD20A25}"/>
  </w:font>
  <w:font w:name="方正仿宋_GBK">
    <w:panose1 w:val="02000000000000000000"/>
    <w:charset w:val="86"/>
    <w:family w:val="auto"/>
    <w:pitch w:val="default"/>
    <w:sig w:usb0="A00002BF" w:usb1="38CF7CFA" w:usb2="00082016" w:usb3="00000000" w:csb0="00040001" w:csb1="00000000"/>
    <w:embedRegular r:id="rId5" w:fontKey="{C8AFF728-8AB9-4A71-9C1D-0017C2C3AEA1}"/>
  </w:font>
  <w:font w:name="方正黑体_GBK">
    <w:panose1 w:val="03000509000000000000"/>
    <w:charset w:val="86"/>
    <w:family w:val="auto"/>
    <w:pitch w:val="default"/>
    <w:sig w:usb0="00000001" w:usb1="080E0000" w:usb2="00000000" w:usb3="00000000" w:csb0="00040000" w:csb1="00000000"/>
    <w:embedRegular r:id="rId6" w:fontKey="{0F399983-9739-4546-97B5-7926EA4485A8}"/>
  </w:font>
  <w:font w:name="仿宋_GB2312">
    <w:panose1 w:val="02010609030101010101"/>
    <w:charset w:val="86"/>
    <w:family w:val="auto"/>
    <w:pitch w:val="default"/>
    <w:sig w:usb0="00000001" w:usb1="080E0000" w:usb2="00000000" w:usb3="00000000" w:csb0="00040000" w:csb1="00000000"/>
    <w:embedRegular r:id="rId7" w:fontKey="{7BD41F38-6E96-4817-BC4F-CB7061A6706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A780">
    <w:pPr>
      <w:pStyle w:val="4"/>
      <w:tabs>
        <w:tab w:val="left" w:pos="4999"/>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3B1D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B3B1D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2M1ZjM2ZTIwZDg2NTk3NWFhNjUyMWI4NjEwMDAifQ=="/>
  </w:docVars>
  <w:rsids>
    <w:rsidRoot w:val="77DE1DEF"/>
    <w:rsid w:val="08B651F8"/>
    <w:rsid w:val="0D134683"/>
    <w:rsid w:val="15282FD9"/>
    <w:rsid w:val="1D6B5FA6"/>
    <w:rsid w:val="233139A1"/>
    <w:rsid w:val="23384D2F"/>
    <w:rsid w:val="2C02412C"/>
    <w:rsid w:val="3F584337"/>
    <w:rsid w:val="40895E99"/>
    <w:rsid w:val="44446C38"/>
    <w:rsid w:val="48B1094F"/>
    <w:rsid w:val="56C50DCC"/>
    <w:rsid w:val="5C2B7126"/>
    <w:rsid w:val="77DE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Plain Text"/>
    <w:basedOn w:val="1"/>
    <w:qFormat/>
    <w:uiPriority w:val="0"/>
    <w:pPr>
      <w:autoSpaceDE/>
      <w:autoSpaceDN/>
      <w:jc w:val="both"/>
    </w:pPr>
    <w:rPr>
      <w:rFonts w:hAnsi="Courier New" w:cs="Times New Roman"/>
      <w:kern w:val="2"/>
      <w:sz w:val="21"/>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5414</Words>
  <Characters>5430</Characters>
  <Lines>0</Lines>
  <Paragraphs>0</Paragraphs>
  <TotalTime>14</TotalTime>
  <ScaleCrop>false</ScaleCrop>
  <LinksUpToDate>false</LinksUpToDate>
  <CharactersWithSpaces>5555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2024-11-05T03:38:00Z</dcterms:created>
  <dc:creator>✌指尖✰•‿•✰烟云✌</dc:creator>
  <cp:lastModifiedBy>蓝天</cp:lastModifiedBy>
  <cp:lastPrinted>2024-11-05T07:21:00Z</cp:lastPrinted>
  <dcterms:modified xsi:type="dcterms:W3CDTF">2024-12-19T02:34:10Z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0E4BDFA126EB4280B7A1131EB14D72D9_13</vt:lpwstr>
  </property>
</Properties>
</file>